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SeeLotUntV 1998</w:t>
      </w:r>
    </w:p>
    <w:p>
      <w:r>
        <w:rPr>
          <w:color w:val="555555"/>
          <w:sz w:val="18"/>
        </w:rPr>
        <w:t xml:space="preserve">Seelotsenuntersuchungsverordnung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Auf Grund</w:t>
      </w:r>
    </w:p>
    <w:p>
      <w:pPr>
        <w:ind w:left="420"/>
      </w:pPr>
      <w:r>
        <w:t xml:space="preserve">- des § 4 Nr. 2 des Gesetzes über das Seelotswesen in der Fassung der Bekanntmachung vom 13. September 1984 (BGBl. I S. 1213), der durch Artikel 3 Nr. 1 des Gesetzes vom 15. Juli 1994 (BGBl. I S. 1554) geändert worden ist, verordnet das Bundesministerium für Verkehr,</w:t>
      </w:r>
    </w:p>
    <w:p>
      <w:pPr>
        <w:ind w:left="420"/>
      </w:pPr>
      <w:r>
        <w:t xml:space="preserve">- des § 46 Abs. 2 des Gesetzes über das Seelotswesen, der durch Artikel 3 Nr. 9 des Gesetzes vom 15. Juli 1994 geändert worden ist, verordnet das Bundesministerium für Verkehr im Einvernehmen mit dem Bundesministerium der Finanzen:</w:t>
      </w:r>
    </w:p>
    <w:p>
      <w:r>
        <w:rPr>
          <w:color w:val="555555"/>
          <w:sz w:val="17"/>
        </w:rPr>
        <w:t xml:space="preserve">Zitiervorschlag: Eingangsformel SeeLotUntV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https://recht.nulegal.eu/gesetze/SeeLotUntV%201998/eingangsformel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