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SeeLotUntV 1998</w:t>
      </w:r>
    </w:p>
    <w:p>
      <w:r>
        <w:rPr>
          <w:color w:val="555555"/>
          <w:sz w:val="18"/>
        </w:rPr>
        <w:t xml:space="preserve">Seelotsenuntersuchungsverordnung</w:t>
      </w:r>
    </w:p>
    <w:p>
      <w:r>
        <w:rPr>
          <w:color w:val="555555"/>
          <w:sz w:val="18"/>
        </w:rPr>
        <w:t xml:space="preserve">Historische Fassung: Stand 10.06.2019 bis 28.05.2022. Dies ist nicht die aktuelle Fassung.</w:t>
      </w:r>
    </w:p>
    <w:p>
      <w:r>
        <w:t xml:space="preserve">Diese Verordnung tritt am 1. Mai 1998 in Kraft.</w:t>
      </w:r>
    </w:p>
    <w:p>
      <w:r>
        <w:rPr>
          <w:color w:val="555555"/>
          <w:sz w:val="17"/>
        </w:rPr>
        <w:t xml:space="preserve">Zitiervorschlag: § 9 SeeLotUntV 1998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https://recht.nulegal.eu/gesetze/SeeLotUntV%201998/9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