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SeeLotUntV 1998</w:t>
      </w:r>
    </w:p>
    <w:p>
      <w:r>
        <w:rPr>
          <w:color w:val="555555"/>
          <w:sz w:val="18"/>
        </w:rPr>
        <w:t xml:space="preserve">Seelotsenuntersuchungsverordnung</w:t>
      </w:r>
    </w:p>
    <w:p>
      <w:r>
        <w:rPr>
          <w:color w:val="555555"/>
          <w:sz w:val="18"/>
        </w:rPr>
        <w:t xml:space="preserve">Historische Fassung: Stand 10.06.2019 bis 28.05.2022. Dies ist nicht die aktuelle Fassung.</w:t>
      </w:r>
    </w:p>
    <w:p>
      <w:r>
        <w:t xml:space="preserve">Für Seelotsen außerhalb der Seelotsreviere gelten die §§ 1 bis 6 entsprechend.</w:t>
      </w:r>
    </w:p>
    <w:p>
      <w:r>
        <w:rPr>
          <w:color w:val="555555"/>
          <w:sz w:val="17"/>
        </w:rPr>
        <w:t xml:space="preserve">Zitiervorschlag: § 7 SeeLotUntV 1998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https://recht.nulegal.eu/gesetze/SeeLotUntV%201998/7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