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SeeLotUntV 1998</w:t>
      </w:r>
    </w:p>
    <w:p>
      <w:r>
        <w:rPr>
          <w:color w:val="555555"/>
          <w:sz w:val="18"/>
        </w:rPr>
        <w:t xml:space="preserve">Seelotsenuntersuchungsverordnung</w:t>
      </w:r>
    </w:p>
    <w:p>
      <w:r>
        <w:rPr>
          <w:color w:val="555555"/>
          <w:sz w:val="18"/>
        </w:rPr>
        <w:t xml:space="preserve">Historische Fassung: Stand 10.06.2019 bis 28.05.2022. Dies ist nicht die aktuelle Fassung.</w:t>
      </w:r>
    </w:p>
    <w:p>
      <w:r>
        <w:t xml:space="preserve">(1) Einer seeärztlichen Untersuchung haben sich zu unterziehen:</w:t>
      </w:r>
    </w:p>
    <w:p>
      <w:pPr>
        <w:ind w:left="420"/>
      </w:pPr>
      <w:r>
        <w:t xml:space="preserve">1. Seelotsenbewerber vor der Zulassung zum Seelotsenanwärter,</w:t>
      </w:r>
    </w:p>
    <w:p>
      <w:pPr>
        <w:ind w:left="420"/>
      </w:pPr>
      <w:r>
        <w:t xml:space="preserve">2. Seelotsen bis zur Vollendung des fünfundvierzigsten Lebensjahres alle fünf Jahre, danach alle drei Jahre bis zum Ausscheiden,</w:t>
      </w:r>
    </w:p>
    <w:p>
      <w:pPr>
        <w:ind w:left="420"/>
      </w:pPr>
      <w:r>
        <w:t xml:space="preserve">3. Seelotsenanwärter und Seelotsen, wenn es die Aufsichtsbehörde aus besonderen Gründen verlangt.</w:t>
      </w:r>
    </w:p>
    <w:p>
      <w:r>
        <w:t xml:space="preserve">Einer seeärztlichen Untersuchung dürfen sich Seelotsen auch dann unterziehen, wenn kein Untersuchungsanlass nach Satz 1 gegeben ist.</w:t>
      </w:r>
    </w:p>
    <w:p>
      <w:r>
        <w:t xml:space="preserve">(2) Die Untersuchungen nach Absatz 1 Nr. 1 sind in den eigenen seeärztlichen Dienststellen der See-Berufsgenossenschaft durchzuführen.</w:t>
      </w:r>
    </w:p>
    <w:p>
      <w:r>
        <w:rPr>
          <w:color w:val="555555"/>
          <w:sz w:val="17"/>
        </w:rPr>
        <w:t xml:space="preserve">Zitiervorschlag: § 2 SeeLotUntV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https://recht.nulegal.eu/gesetze/SeeLotUntV%201998/2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