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SeeLAuFV 2023 — Qualifikation der anleitenden und ausbildenden Seelotsinnen und Seelotsen</w:t>
      </w:r>
    </w:p>
    <w:p>
      <w:r>
        <w:rPr>
          <w:color w:val="555555"/>
          <w:sz w:val="18"/>
        </w:rPr>
        <w:t xml:space="preserve">Seelotsenaus- und -fortbildungsverordnung</w:t>
      </w:r>
    </w:p>
    <w:p>
      <w:r>
        <w:rPr>
          <w:color w:val="555555"/>
          <w:sz w:val="18"/>
        </w:rPr>
        <w:t xml:space="preserve">Stand: 25.02.2023 (konsolidierte Textfassung, kein amtliches Inkrafttretensdatum)</w:t>
      </w:r>
    </w:p>
    <w:p>
      <w:r>
        <w:t xml:space="preserve">(1) Anleitende Seelotsinnen und anleitende Seelotsen müssen eine Schulung nach Anlage 4 Abschnitt 1 absolvieren.</w:t>
      </w:r>
    </w:p>
    <w:p>
      <w:r>
        <w:t xml:space="preserve">(2) Anleitende Seelotsinnen und anleitende Seelotsen, die zusätzlich theoretische Anteile in der Ausbildung der Seelotsenanwärterinnen und Seelotsenanwärter übernehmen (ausbildende Seelotsinnen und ausbildende Seelotsen), müssen eine Schulung nach Anlage 4 Abschnitt 2 absolvieren.</w:t>
      </w:r>
    </w:p>
    <w:p>
      <w:r>
        <w:t xml:space="preserve">(3) Ausbildende Seelotsinnen und ausbildende Seelotsen sollen mindestens zwei Jahre als anleitende Seelotsin oder anleitender Seelotse tätig gewesen sein.</w:t>
      </w:r>
    </w:p>
    <w:p>
      <w:r>
        <w:t xml:space="preserve">(4) Die Schulungen nach den Absätzen 1 und 2 müssen die Kenntnisse in Methodik und Didaktik der Ausbildung und in der Generierung, Durchführung, Auswertung und Bewertung von Aufgaben zur Schifffahrtskunde zielgruppenorientiert vermitteln.</w:t>
      </w:r>
    </w:p>
    <w:p>
      <w:r>
        <w:rPr>
          <w:color w:val="555555"/>
          <w:sz w:val="17"/>
        </w:rPr>
        <w:t xml:space="preserve">Zitiervorschlag: § 9 SeeLAuFV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https://recht.nulegal.eu/gesetze/SeeLAuFV%202023/9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SeeLAuFV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