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SeeLAuFV 2023 — Theoretische Ausbildung</w:t>
      </w:r>
    </w:p>
    <w:p>
      <w:r>
        <w:rPr>
          <w:color w:val="555555"/>
          <w:sz w:val="18"/>
        </w:rPr>
        <w:t xml:space="preserve">Seelotsenaus- und -fortbildungsverordnung</w:t>
      </w:r>
    </w:p>
    <w:p>
      <w:r>
        <w:rPr>
          <w:color w:val="555555"/>
          <w:sz w:val="18"/>
        </w:rPr>
        <w:t xml:space="preserve">Stand: 25.02.2023 (konsolidierte Textfassung, kein amtliches Inkrafttretensdatum)</w:t>
      </w:r>
    </w:p>
    <w:p>
      <w:r>
        <w:t xml:space="preserve">Die theoretische Ausbildung wird durch die in § 4 Absatz 1 und 2 genannten Stellen durchgeführt. Die Inhalte der theoretischen Ausbildung bestimmen sich nach dem Ausbildungsrahmenplan der Anlage 1.</w:t>
      </w:r>
    </w:p>
    <w:p>
      <w:r>
        <w:rPr>
          <w:color w:val="555555"/>
          <w:sz w:val="17"/>
        </w:rPr>
        <w:t xml:space="preserve">Zitiervorschlag: § 5 SeeLAuFV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https://recht.nulegal.eu/gesetze/SeeLAuFV%202023/5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