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SeeLAuFV 2023 — Fortbildungsplan</w:t>
      </w:r>
    </w:p>
    <w:p>
      <w:r>
        <w:rPr>
          <w:color w:val="555555"/>
          <w:sz w:val="18"/>
        </w:rPr>
        <w:t xml:space="preserve">Seelotsenaus- und -fortbildungsverordnung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Der Fortbildungsrahmenplan nach Anlage 8 ist unter Berücksichtigung der revierbezogenen Besonderheiten durch einen von den Lotsenbrüderschaften zu erstellenden Fortbildungsplan umzusetzen. Die Lotsenbrüderschaft hat die im Fortbildungsplan aufgenommenen Lehrgänge anhand des Musters der Lehrgangsbeschreibung nach Anlage 9 zu beschreiben. Der Fortbildungsplan ist auf Verlangen der Aufsichtsbehörde anzupassen, insbesondere bei technischen oder wissenschaftlichen Entwicklungen auf dem Gebiet der Schifffahrtskunde.</w:t>
      </w:r>
    </w:p>
    <w:p>
      <w:r>
        <w:rPr>
          <w:color w:val="555555"/>
          <w:sz w:val="17"/>
        </w:rPr>
        <w:t xml:space="preserve">Zitiervorschlag: § 22 SeeLAuFV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https://recht.nulegal.eu/gesetze/SeeLAuFV%202023/22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SeeLAuFV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