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SeeGVG — Rechtsbehelfe in der Zwangsvollstreckung</w:t>
      </w:r>
    </w:p>
    <w:p>
      <w:r>
        <w:rPr>
          <w:color w:val="555555"/>
          <w:sz w:val="18"/>
        </w:rPr>
        <w:t xml:space="preserve">Seegerichtsvollstreckungsgesetz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Einwendungen, die den durch die Entscheidung des Seegerichtshofs festgestellten Anspruch betreffen, können vor inländischen Gerichten nicht geltend gemacht werden.</w:t>
      </w:r>
    </w:p>
    <w:p>
      <w:r>
        <w:rPr>
          <w:color w:val="555555"/>
          <w:sz w:val="17"/>
        </w:rPr>
        <w:t xml:space="preserve">Zitiervorschlag: § 4 SeeGVG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https://recht.nulegal.eu/gesetze/SeeGVG/4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