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SeeGVG — Vollstreckbarkeit</w:t>
      </w:r>
    </w:p>
    <w:p>
      <w:r>
        <w:rPr>
          <w:color w:val="555555"/>
          <w:sz w:val="18"/>
        </w:rPr>
        <w:t xml:space="preserve">Seegerichtsvollstreckungsgesetz</w:t>
      </w:r>
    </w:p>
    <w:p>
      <w:r>
        <w:rPr>
          <w:color w:val="555555"/>
          <w:sz w:val="18"/>
        </w:rPr>
        <w:t xml:space="preserve">Stand: 10.06.2019 (konsolidierte Textfassung, kein amtliches Inkrafttretensdatum)</w:t>
      </w:r>
    </w:p>
    <w:p>
      <w:r>
        <w:t xml:space="preserve">Entscheidungen der Kammer für Meeresbodenstreitigkeiten des Internationalen Seegerichtshofs (Artikel 39 der Anlage VI zum Seerechtsübereinkommen der Vereinten Nationen vom 10. Dezember 1982) und endgültige Entscheidungen eines auf Grund dieses Übereinkommens zuständigen Gerichtshofs betreffend die Rechte und Pflichten der Behörde und des Vertragsnehmers (Artikel 21 Abs. 2 der Anlage III zum Seerechtsübereinkommen) sind vollstreckbare Titel. Die Zwangsvollstreckung erfolgt nach den Vorschriften des Zivilverfahrensrechts mit den nachfolgenden Maßgaben.</w:t>
      </w:r>
    </w:p>
    <w:p>
      <w:r>
        <w:rPr>
          <w:color w:val="555555"/>
          <w:sz w:val="17"/>
        </w:rPr>
        <w:t xml:space="preserve">Zitiervorschlag: § 1 SeeGVG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https://recht.nulegal.eu/gesetze/SeeGVG/1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