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SeeFischG — (zu § 2 Absatz 1)</w:t>
      </w:r>
    </w:p>
    <w:p>
      <w:r>
        <w:rPr>
          <w:color w:val="555555"/>
          <w:sz w:val="18"/>
        </w:rPr>
        <w:t xml:space="preserve">Seefischereigesetz</w:t>
      </w:r>
    </w:p>
    <w:p>
      <w:r>
        <w:rPr>
          <w:color w:val="555555"/>
          <w:sz w:val="18"/>
        </w:rPr>
        <w:t xml:space="preserve">Stand: 10.06.2019 (konsolidierte Textfassung, kein amtliches Inkrafttretensdatum)</w:t>
      </w:r>
    </w:p>
    <w:p>
      <w:r>
        <w:t xml:space="preserve">(Fundstelle: BGBl. I 2011, 3080 — 3081)</w:t>
      </w:r>
    </w:p>
    <w:p>
      <w:r>
        <w:t xml:space="preserve">Zuständigkeiten des Bundes nach § 2 Absatz 1</w:t>
      </w:r>
    </w:p>
    <w:p>
      <w:r>
        <w:rPr>
          <w:rFonts w:ascii="Courier New" w:hAnsi="Courier New"/>
          <w:sz w:val="17"/>
        </w:rPr>
        <w:t xml:space="preserve">lfd. Nr.    Aufgabe</w:t>
      </w:r>
    </w:p>
    <w:p>
      <w:r>
        <w:rPr>
          <w:rFonts w:ascii="Courier New" w:hAnsi="Courier New"/>
          <w:sz w:val="17"/>
        </w:rPr>
        <w:t xml:space="preserve">1    Überwachung und Unterstützung der Seefischerei seewärts der äußeren Begrenzung des Küstenmeeres</w:t>
      </w:r>
    </w:p>
    <w:p>
      <w:r>
        <w:rPr>
          <w:rFonts w:ascii="Courier New" w:hAnsi="Courier New"/>
          <w:sz w:val="17"/>
        </w:rPr>
        <w:t xml:space="preserve">1a)    Verfügung einer Ad-hoc-Schließung nach Artikel 53 der Verordnung (EG) Nr. 1224/2009 mit Festlegung des geografischen Gebiets der betroffenen Fanggründe, der Dauer der Schließung und der Bedingungen, die für die Fischereien während der Schließung in dem betreffenden Gebiet gelten, sowie die nach Artikel 53 der Verordnung (EG) Nr. 1224/2009 erforderlichen Mitteilungen.</w:t>
      </w:r>
    </w:p>
    <w:p>
      <w:r>
        <w:rPr>
          <w:rFonts w:ascii="Courier New" w:hAnsi="Courier New"/>
          <w:sz w:val="17"/>
        </w:rPr>
        <w:t xml:space="preserve">2    Überwachung der Seefischerei an Land bei Fischereifahrzeugen aus Mitgliedstaaten der Europäischen Union mit einer Bruttoraumzahl ab 500</w:t>
      </w:r>
    </w:p>
    <w:p>
      <w:r>
        <w:rPr>
          <w:rFonts w:ascii="Courier New" w:hAnsi="Courier New"/>
          <w:sz w:val="17"/>
        </w:rPr>
        <w:t xml:space="preserve">3    Überwachung der Seefischerei an Land bei Fischereifahrzeugen aus Drittländern nach</w:t>
      </w:r>
    </w:p>
    <w:p>
      <w:r>
        <w:rPr>
          <w:rFonts w:ascii="Courier New" w:hAnsi="Courier New"/>
          <w:sz w:val="17"/>
        </w:rPr>
        <w:t xml:space="preserve">    a)    Kapitel II der Verordnung (EG) Nr. 1005/2008 und den im Rahmen des Kapitels II der Verordnung (EG) Nr. 1005/2008 erlassenen Rechtsakten der Europäischen Gemeinschaft oder der Europäischen Union sowie</w:t>
      </w:r>
    </w:p>
    <w:p>
      <w:r>
        <w:rPr>
          <w:rFonts w:ascii="Courier New" w:hAnsi="Courier New"/>
          <w:sz w:val="17"/>
        </w:rPr>
        <w:t xml:space="preserve">    b)    Gesetzen und Rechtsverordnungen, die im Rahmen der in Buchstabe a genannten Rechtsakte erlassen worden sind</w:t>
      </w:r>
    </w:p>
    <w:p>
      <w:r>
        <w:rPr>
          <w:rFonts w:ascii="Courier New" w:hAnsi="Courier New"/>
          <w:sz w:val="17"/>
        </w:rPr>
        <w:t xml:space="preserve">4    Überprüfung der in elektronischer oder in anderer Form aufzuzeichnenden und zu übermittelnden Angaben aus den Fischereilogbüchern und Anlande- und Umladeerklärungen</w:t>
      </w:r>
    </w:p>
    <w:p>
      <w:r>
        <w:rPr>
          <w:rFonts w:ascii="Courier New" w:hAnsi="Courier New"/>
          <w:sz w:val="17"/>
        </w:rPr>
        <w:t xml:space="preserve">    a)    von Fischereifahrzeugen, die berechtigt sind, die Bundesflagge zu führen, bei Anlandungen in einem Hafen eines anderen Mitgliedstaats der Europäischen Union oder eines Drittlands,</w:t>
      </w:r>
    </w:p>
    <w:p>
      <w:r>
        <w:rPr>
          <w:rFonts w:ascii="Courier New" w:hAnsi="Courier New"/>
          <w:sz w:val="17"/>
        </w:rPr>
        <w:t xml:space="preserve">    b)    von Fischereifahrzeugen aus Mitgliedstaaten der Europäischen Union mit einer Bruttoraumzahl ab 500 und von Fischereifahrzeugen aus Drittländern</w:t>
      </w:r>
    </w:p>
    <w:p>
      <w:r>
        <w:rPr>
          <w:rFonts w:ascii="Courier New" w:hAnsi="Courier New"/>
          <w:sz w:val="17"/>
        </w:rPr>
        <w:t xml:space="preserve">5    Entgegennahme, vorübergehende elektronische Speicherung und Weiterleitung der in elektronischer Form aufgezeichneten und übermittelten Angaben aus den Fischereilogbüchern und Anlande- und Umladeerklärungen aller Fischereifahrzeuge</w:t>
      </w:r>
    </w:p>
    <w:p>
      <w:r>
        <w:rPr>
          <w:rFonts w:ascii="Courier New" w:hAnsi="Courier New"/>
          <w:sz w:val="17"/>
        </w:rPr>
        <w:t xml:space="preserve">6    Entgegennahme, elektronische Ersterfassung, vorübergehende elektronische Speicherung und Weiterleitung der in anderer Form aufgezeichneten und übermittelten Angaben aus den Fischereilogbüchern und Anlande- und Umladeerklärungen</w:t>
      </w:r>
    </w:p>
    <w:p>
      <w:r>
        <w:rPr>
          <w:rFonts w:ascii="Courier New" w:hAnsi="Courier New"/>
          <w:sz w:val="17"/>
        </w:rPr>
        <w:t xml:space="preserve">    a)    von Fischereifahrzeugen aus Mitgliedstaaten der Europäischen Union mit einer Bruttoraumzahl ab 500 und Drittlandfahrzeugen,</w:t>
      </w:r>
    </w:p>
    <w:p>
      <w:r>
        <w:rPr>
          <w:rFonts w:ascii="Courier New" w:hAnsi="Courier New"/>
          <w:sz w:val="17"/>
        </w:rPr>
        <w:t xml:space="preserve">    b)    von Fischereifahrzeugen, die berechtigt sind, die Bundesflagge zu führen, mit einer Bruttoraumzahl unter 500, bei Anlandungen in einem Hafen eines anderen Mitgliedstaats der Europäischen Union oder eines Drittlands</w:t>
      </w:r>
    </w:p>
    <w:p>
      <w:r>
        <w:rPr>
          <w:rFonts w:ascii="Courier New" w:hAnsi="Courier New"/>
          <w:sz w:val="17"/>
        </w:rPr>
        <w:t xml:space="preserve">7    Vorübergehende elektronische Speicherung und Weiterleitung der in anderer Form aufgezeichneten und übermittelten Angaben aus den Fischereilogbüchern und Anlande- und Umladeerklärungen von Fischereifahrzeugen aus Mitgliedstaaten der Europäischen Union mit einer Bruttoraumzahl unter 500, unbeschadet der Regelung nach Nummer 6 Buchstabe b</w:t>
      </w:r>
    </w:p>
    <w:p>
      <w:r>
        <w:rPr>
          <w:rFonts w:ascii="Courier New" w:hAnsi="Courier New"/>
          <w:sz w:val="17"/>
        </w:rPr>
        <w:t xml:space="preserve">8    Entgegennahme, Überprüfung, vorübergehende Speicherung und Weiterleitung der Anmeldung vor der Ankunft im Hafen (Voranmeldung) von Fischereifahrzeugen aus Mitgliedstaaten der Europäischen Union mit einer Bruttoraumzahl ab 500</w:t>
      </w:r>
    </w:p>
    <w:p>
      <w:r>
        <w:rPr>
          <w:rFonts w:ascii="Courier New" w:hAnsi="Courier New"/>
          <w:sz w:val="17"/>
        </w:rPr>
        <w:t xml:space="preserve">9    Entgegennahme, vorübergehende Speicherung und Weiterleitung der in elektronischer Form übermittelten Voranmeldung von Fischereifahrzeugen aus Mitgliedstaaten der Europäischen Union mit einer Bruttoraumzahl bis zu 500</w:t>
      </w:r>
    </w:p>
    <w:p>
      <w:r>
        <w:rPr>
          <w:rFonts w:ascii="Courier New" w:hAnsi="Courier New"/>
          <w:sz w:val="17"/>
        </w:rPr>
        <w:t xml:space="preserve">10    Entgegennahme, Überprüfung, vorübergehende Speicherung und Weiterleitung der Anmeldung vor der Ankunft in einem Hafen eines anderen Mitgliedstaats der Europäischen Union von Fischereifahrzeugen, die berechtigt sind, die Bundesflagge zu führen</w:t>
      </w:r>
    </w:p>
    <w:p>
      <w:r>
        <w:rPr>
          <w:rFonts w:ascii="Courier New" w:hAnsi="Courier New"/>
          <w:sz w:val="17"/>
        </w:rPr>
        <w:t xml:space="preserve">11    Untersagung des Einlaufens in den Hafen von Fischereifahrzeugen aus Mitgliedstaaten der Europäischen Union mit einer Bruttoraumzahl ab 500, die nach den Vorschriften des Fischereirechts der Europäischen Union der Verpflichtung zur Voranmeldung unterliegen und die Voranmeldung nicht oder nicht vollständig übermitteln</w:t>
      </w:r>
    </w:p>
    <w:p>
      <w:r>
        <w:rPr>
          <w:rFonts w:ascii="Courier New" w:hAnsi="Courier New"/>
          <w:sz w:val="17"/>
        </w:rPr>
        <w:t xml:space="preserve">12    Genehmigung von Umladungen und der Wiederaufnahme von Umladungen durch Fischereifahrzeuge aus Mitgliedstaaten der Europäischen Union mit einer Bruttoraumzahl ab 500</w:t>
      </w:r>
    </w:p>
    <w:p>
      <w:r>
        <w:rPr>
          <w:rFonts w:ascii="Courier New" w:hAnsi="Courier New"/>
          <w:sz w:val="17"/>
        </w:rPr>
        <w:t xml:space="preserve">13    Überwachung der Freizeitfischerei in der Ausschließlichen Wirtschaftszone</w:t>
      </w:r>
    </w:p>
    <w:p>
      <w:r>
        <w:rPr>
          <w:rFonts w:ascii="Courier New" w:hAnsi="Courier New"/>
          <w:sz w:val="17"/>
        </w:rPr>
        <w:t xml:space="preserve">14    Überwachung des Wiegens von Seefischereierzeugnissen bei oder nach der Anlandung oder an Bord eines Fischereifahrzeugs aus einem Mitgliedstaat der Europäischen Union mit einer Bruttoraumzahl ab 500 oder eines Fischereifahrzeugs aus einem Drittland</w:t>
      </w:r>
    </w:p>
    <w:p>
      <w:r>
        <w:rPr>
          <w:rFonts w:ascii="Courier New" w:hAnsi="Courier New"/>
          <w:sz w:val="17"/>
        </w:rPr>
        <w:t xml:space="preserve">15    Entgegennahme und Überprüfung der in elektronischer oder in anderer Form aufzuzeichnenden und zu übermittelnden Angaben aus den Verkaufsbelegen über den Erstverkauf von Seefischereierzeugnissen nach der Anlandung sowie der Angaben aus den Übernahmeerklärungen über Seefischereierzeugnisse, die für einen Erstverkauf zu einem späteren Zeitpunkt bestimmt sind,</w:t>
      </w:r>
    </w:p>
    <w:p>
      <w:r>
        <w:rPr>
          <w:rFonts w:ascii="Courier New" w:hAnsi="Courier New"/>
          <w:sz w:val="17"/>
        </w:rPr>
        <w:t xml:space="preserve">    a)    von Fischereifahrzeugen, die berechtigt sind, die Bundesflagge zu führen, bei Anlandungen in einem Hafen eines anderen Mitgliedstaats der Europäischen Union oder eines Drittlands,</w:t>
      </w:r>
    </w:p>
    <w:p>
      <w:r>
        <w:rPr>
          <w:rFonts w:ascii="Courier New" w:hAnsi="Courier New"/>
          <w:sz w:val="17"/>
        </w:rPr>
        <w:t xml:space="preserve">    b)    von Fischereifahrzeugen aus Mitgliedstaaten der Europäischen Union mit einer Bruttoraumzahl ab 500 und von Fischereifahrzeugen aus Drittländern</w:t>
      </w:r>
    </w:p>
    <w:p>
      <w:r>
        <w:rPr>
          <w:rFonts w:ascii="Courier New" w:hAnsi="Courier New"/>
          <w:sz w:val="17"/>
        </w:rPr>
        <w:t xml:space="preserve">16    Vorübergehende elektronische Speicherung und Weiterleitung der in elektronischer oder in anderer Form aufgezeichneten und übermittelten Angaben aus den Verkaufsbelegen und den Übernahmeerklärungen aller Fischereifahrzeuge</w:t>
      </w:r>
    </w:p>
    <w:p>
      <w:r>
        <w:rPr>
          <w:rFonts w:ascii="Courier New" w:hAnsi="Courier New"/>
          <w:sz w:val="17"/>
        </w:rPr>
        <w:t xml:space="preserve">17    Durchführung der Vorschriften des Fischereirechts der Europäischen Union über die Überwachung des Fischereiaufwands</w:t>
      </w:r>
    </w:p>
    <w:p>
      <w:r>
        <w:rPr>
          <w:rFonts w:ascii="Courier New" w:hAnsi="Courier New"/>
          <w:sz w:val="17"/>
        </w:rPr>
        <w:t xml:space="preserve">18    Erteilung von Fanglizenzen für Fahrzeuge, die berechtigt sind, die Bundesflagge zu führen</w:t>
      </w:r>
    </w:p>
    <w:p>
      <w:r>
        <w:rPr>
          <w:rFonts w:ascii="Courier New" w:hAnsi="Courier New"/>
          <w:sz w:val="17"/>
        </w:rPr>
        <w:t xml:space="preserve">19    Einrichtung und das Führen der nationalen Verstoßdatei nach § 14</w:t>
      </w:r>
    </w:p>
    <w:p>
      <w:r>
        <w:rPr>
          <w:rFonts w:ascii="Courier New" w:hAnsi="Courier New"/>
          <w:sz w:val="17"/>
        </w:rPr>
        <w:t xml:space="preserve">20    Überwachung der Einfuhr, Ausfuhr und Wiederausfuhr von Fischereierzeugnissen, die einer Einfuhr-, Ausfuhr- oder Wiederausfuhrregelung nach</w:t>
      </w:r>
    </w:p>
    <w:p>
      <w:r>
        <w:rPr>
          <w:rFonts w:ascii="Courier New" w:hAnsi="Courier New"/>
          <w:sz w:val="17"/>
        </w:rPr>
        <w:t xml:space="preserve">    a)    unmittelbar geltenden Rechtsakten der Europäischen Gemeinschaft oder der Europäischen Union, insbesondere nach Kapitel III der Verordnung (EG) Nr. 1005/2008 in der jeweils geltenden Fassung und den im Rahmen des Kapitels III der Verordnung (EG) Nr. 1005/2008 erlassenen Rechtsakten der Europäischen Gemeinschaft oder der Europäischen Union sowie</w:t>
      </w:r>
    </w:p>
    <w:p>
      <w:r>
        <w:rPr>
          <w:rFonts w:ascii="Courier New" w:hAnsi="Courier New"/>
          <w:sz w:val="17"/>
        </w:rPr>
        <w:t xml:space="preserve">    b)    Gesetzen und Rechtsverordnungen, die im Rahmen der in Buchstabe a bezeichneten Rechtsakte erlassen worden sind,</w:t>
      </w:r>
    </w:p>
    <w:p>
      <w:r>
        <w:rPr>
          <w:rFonts w:ascii="Courier New" w:hAnsi="Courier New"/>
          <w:sz w:val="17"/>
        </w:rPr>
        <w:t xml:space="preserve">    unterliegen, sowie die Bewilligung des Status eines „anerkannten Wirtschaftsbeteiligten“ nach den in den Buchstaben a und b genannten Rechtsakten</w:t>
      </w:r>
    </w:p>
    <w:p>
      <w:r>
        <w:rPr>
          <w:rFonts w:ascii="Courier New" w:hAnsi="Courier New"/>
          <w:sz w:val="17"/>
        </w:rPr>
        <w:t xml:space="preserve">21    Entgegennahme der Anträge auf finanzielle Beteiligung der Europäischen Union an den Fördermaßnahmen, die in der Verordnung (EU) Nr. 508/2014 festgelegt sind und die von der Bundesanstalt nach den einschlägigen nationalen Bestimmungen durchgeführt werden.</w:t>
      </w:r>
    </w:p>
    <w:p>
      <w:r>
        <w:rPr>
          <w:color w:val="555555"/>
          <w:sz w:val="17"/>
        </w:rPr>
        <w:t xml:space="preserve">Zitiervorschlag: Anlage SeeFischG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https://recht.nulegal.eu/gesetze/SeeFischG/anlage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