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SeeFischG — Mitwirkung der Zollbehörden bei der Überwachung der Einfuhr, Ausfuhr und Durchfuhr von Fischereierzeugnissen</w:t>
      </w:r>
    </w:p>
    <w:p>
      <w:r>
        <w:rPr>
          <w:color w:val="555555"/>
          <w:sz w:val="18"/>
        </w:rPr>
        <w:t xml:space="preserve">Seefischereigesetz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Zollbehörden wirken mit bei der Überwachung der Einfuhr, Ausfuhr und Durchfuhr von Fischereierzeugnissen, die einer Ein- oder Ausfuhrregelung nach</w:t>
      </w:r>
    </w:p>
    <w:p>
      <w:pPr>
        <w:ind w:left="420"/>
      </w:pPr>
      <w:r>
        <w:t xml:space="preserve">1. unmittelbar geltenden Rechtsakten der Europäischen Gemeinschaft oder der Europäischen Union, insbesondere nach Kapitel III der Verordnung (EG) Nr. 1005/2008 und den im Rahmen des Kapitels III der Verordnung (EG) Nr. 1005/2008 erlassenen Rechtsakten der Europäischen Gemeinschaft oder der Europäischen Union sowie</w:t>
      </w:r>
    </w:p>
    <w:p>
      <w:pPr>
        <w:ind w:left="420"/>
      </w:pPr>
      <w:r>
        <w:t xml:space="preserve">2. Gesetzen und Rechtsverordnungen, die im Rahmen der in Nummer 1 bezeichneten Rechtsakte erlassen worden sind,</w:t>
      </w:r>
    </w:p>
    <w:p>
      <w:r>
        <w:t xml:space="preserve">unterliegen.</w:t>
      </w:r>
    </w:p>
    <w:p>
      <w:r>
        <w:t xml:space="preserve">(2) Die Zollbehörden können</w:t>
      </w:r>
    </w:p>
    <w:p>
      <w:pPr>
        <w:ind w:left="420"/>
      </w:pPr>
      <w:r>
        <w:t xml:space="preserve">1. Sendungen einschließlich der Beförderungsmittel, Behälter, Lade- und Verpackungsmittel von Fischereierzeugnissen bei der Einfuhr, Ausfuhr und Durchfuhr zur Überprüfung anhalten,</w:t>
      </w:r>
    </w:p>
    <w:p>
      <w:pPr>
        <w:ind w:left="420"/>
      </w:pPr>
      <w:r>
        <w:t xml:space="preserve">2. den Verdacht eines Verstoßes gegen die in Absatz 1 bezeichneten Vorschriften, der sich bei der Wahrnehmung ihrer Aufgaben ergibt, den zuständigen Behörden mitteilen und</w:t>
      </w:r>
    </w:p>
    <w:p>
      <w:pPr>
        <w:ind w:left="420"/>
      </w:pPr>
      <w:r>
        <w:t xml:space="preserve">3. in den Fällen eines Verdachts nach Nummer 2 anordnen, dass Sendungen nach Nummer 1 auf Kosten und Gefahr des Verfügungsberechtigten der zuständigen Behörde vorgelegt werden.</w:t>
      </w:r>
    </w:p>
    <w:p>
      <w:r>
        <w:rPr>
          <w:color w:val="555555"/>
          <w:sz w:val="17"/>
        </w:rPr>
        <w:t xml:space="preserve">Zitiervorschlag: § 9 SeeFischG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https://recht.nulegal.eu/gesetze/SeeFischG/9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