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SeeFischG — Fischereiüberwachungszentrum</w:t>
      </w:r>
    </w:p>
    <w:p>
      <w:r>
        <w:rPr>
          <w:color w:val="555555"/>
          <w:sz w:val="18"/>
        </w:rPr>
        <w:t xml:space="preserve">Seefischereigesetz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führt die im Fischereirecht der Europäischen Union vorgesehenen Aufgaben des Fischereiüberwachungszentrums aus.</w:t>
      </w:r>
    </w:p>
    <w:p>
      <w:r>
        <w:t xml:space="preserve">(2) Die Bundesanstalt entscheidet nach Artikel 81 der Verordnung (EG) Nr. 1224/2009 über Anträge anderer Mitgliedstaaten auf Genehmigung einer Kontrolle auf See eines Fischereifahrzeugs aus einem Mitgliedstaat der Europäischen Union in der Ausschließlichen Wirtschaftszone durch Kontrollbeamte dieses Mitgliedstaats.</w:t>
      </w:r>
    </w:p>
    <w:p>
      <w:r>
        <w:rPr>
          <w:color w:val="555555"/>
          <w:sz w:val="17"/>
        </w:rPr>
        <w:t xml:space="preserve">Zitiervorschlag: § 6 SeeFischG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https://recht.nulegal.eu/gesetze/SeeFischG/6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