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SeeFischG — Überwachung der Fischerei auf See</w:t>
      </w:r>
    </w:p>
    <w:p>
      <w:r>
        <w:rPr>
          <w:color w:val="555555"/>
          <w:sz w:val="18"/>
        </w:rPr>
        <w:t xml:space="preserve">Seefischereigesetz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Grund des Fischereirechts der Europäischen Union oder einer zwischenstaatlichen Vereinbarung kann auch der Fischereiaufsichtsdienst eines anderen Staates die Fischerei auf See überwachen.</w:t>
      </w:r>
    </w:p>
    <w:p>
      <w:r>
        <w:t xml:space="preserve">(2) Unbeschadet der Regelungen des Artikels 80 der Verordnung (EG) Nr. 1224/2009 unterliegen der Überwachung</w:t>
      </w:r>
    </w:p>
    <w:p>
      <w:pPr>
        <w:ind w:left="420"/>
      </w:pPr>
      <w:r>
        <w:t xml:space="preserve">1. alle Fischereifahrzeuge in der Ausschließlichen Wirtschaftszone und im Küstenmeer,</w:t>
      </w:r>
    </w:p>
    <w:p>
      <w:pPr>
        <w:ind w:left="420"/>
      </w:pPr>
      <w:r>
        <w:t xml:space="preserve">2. Fischereifahrzeuge, die berechtigt sind, die Bundesflagge zu führen, auch in allen anderen Seegebieten, außer im Küstenmeer eines anderen Mitgliedstaats, es sei denn dieser hat zugestimmt.</w:t>
      </w:r>
    </w:p>
    <w:p>
      <w:r>
        <w:t xml:space="preserve">(3) (weggefallen)</w:t>
      </w:r>
    </w:p>
    <w:p>
      <w:r>
        <w:t xml:space="preserve">(4) (weggefallen)</w:t>
      </w:r>
    </w:p>
    <w:p>
      <w:r>
        <w:rPr>
          <w:color w:val="555555"/>
          <w:sz w:val="17"/>
        </w:rPr>
        <w:t xml:space="preserve">Zitiervorschlag: § 5 SeeFischG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https://recht.nulegal.eu/gesetze/SeeFischG/5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