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SeeFischG — Regelungsbefugnisse der Länder</w:t>
      </w:r>
    </w:p>
    <w:p>
      <w:r>
        <w:rPr>
          <w:color w:val="555555"/>
          <w:sz w:val="18"/>
        </w:rPr>
        <w:t xml:space="preserve">Seefischereigesetz</w:t>
      </w:r>
    </w:p>
    <w:p>
      <w:r>
        <w:rPr>
          <w:color w:val="555555"/>
          <w:sz w:val="18"/>
        </w:rPr>
        <w:t xml:space="preserve">Stand: 01.07.2026 (konsolidierte Textfassung, kein amtliches Inkrafttretensdatum)</w:t>
      </w:r>
    </w:p>
    <w:p>
      <w:r>
        <w:t xml:space="preserve">Die Länder können zur Regelung der Seefischerei oder zur Durchführung des Fischereirechts der Europäischen Union weitere Vorschriften erlassen, soweit dieses Gesetz keine Regelung trifft oder das Bundesministerium für Landwirtschaft, Ernährung und Heimat von seinen Ermächtigungen nach § 15 keinen Gebrauch macht. Sie können im Interesse der auf Dauer bestmöglichen Nutzung und Erhaltung der Fischbestände die Ausübung des Fischfangs Beschränkungen unterwerfen, die über eine bundesrechtliche Regelung hinausgehen. Die Vorschriften der Länder haben sich im Rahmen des Fischereirechts der Europäischen Union zu halten.</w:t>
      </w:r>
    </w:p>
    <w:p>
      <w:r>
        <w:rPr>
          <w:color w:val="555555"/>
          <w:sz w:val="17"/>
        </w:rPr>
        <w:t xml:space="preserve">Zitiervorschlag: § 21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