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SeeFischG — Elektronische Antragstellung</w:t>
      </w:r>
    </w:p>
    <w:p>
      <w:r>
        <w:rPr>
          <w:color w:val="555555"/>
          <w:sz w:val="18"/>
        </w:rPr>
        <w:t xml:space="preserve">Seefischereigesetz</w:t>
      </w:r>
    </w:p>
    <w:p>
      <w:r>
        <w:rPr>
          <w:color w:val="555555"/>
          <w:sz w:val="18"/>
        </w:rPr>
        <w:t xml:space="preserve">Stand: 31.10.2019 (konsolidierte Textfassung, kein amtliches Inkrafttretensdatum)</w:t>
      </w:r>
    </w:p>
    <w:p>
      <w:r>
        <w:t xml:space="preserve">(1) Abweichend von § 14a Absatz 2 Satz 1 und 2 kann der Antrag nach Maßgabe der Absätze 2 bis 4 auch in elektronischer Form unter Nutzung des im Internet angebotenen Zugangs unmittelbar bei der Bundesanstalt gestellt werden.</w:t>
      </w:r>
    </w:p>
    <w:p>
      <w:r>
        <w:t xml:space="preserve">(2) Der Nachweis der Identität ist mit dem elektronischen Identitätsnachweis nach § 18 des Personalausweisgesetzes, nach § 12 des eID-Karte-Gesetzes oder nach § 78 Absatz 5 des Aufenthaltsgesetzes zu führen. Dabei müssen aus dem elektronischen Speicher und Verarbeitungsmedium des Personalausweises, der eID-Karte oder des elektronischen Aufenthaltstitels an die Bundesanstalt übermittelt werden:</w:t>
      </w:r>
    </w:p>
    <w:p>
      <w:pPr>
        <w:ind w:left="420"/>
      </w:pPr>
      <w:r>
        <w:t xml:space="preserve">1. die Daten nach § 18 Absatz 3 Satz 1 des Personalausweisgesetzes, nach § 12 Absatz 3 Satz 2 des eID-Karte-Gesetzes in Verbindung mit § 18 Absatz 3 Satz 1 des Personalausweisgesetzes oder nach § 78 Absatz 5 Satz 2 des Aufenthaltsgesetzes in Verbindung mit § 18 Absatz 3 Satz 1 des Personalausweisgesetzes und</w:t>
      </w:r>
    </w:p>
    <w:p>
      <w:pPr>
        <w:ind w:left="420"/>
      </w:pPr>
      <w:r>
        <w:t xml:space="preserve">2. die Staatsangehörigkeit.</w:t>
      </w:r>
    </w:p>
    <w:p>
      <w:r>
        <w:t xml:space="preserve">Lässt das elektronische Speicher- und Verarbeitungsmedium die Übermittlung des Geburtsnamens nicht zu, ist der Geburtsname im Antrag anzugeben und anderweitig nachzuweisen. Bei der Datenübermittlung ist ein dem jeweiligen Stand der Technik entsprechendes sicheres Verfahren zu verwenden, das die Vertraulichkeit und Integrität des elektronisch übermittelten Datensatzes gewährleistet.</w:t>
      </w:r>
    </w:p>
    <w:p>
      <w:r>
        <w:t xml:space="preserve">(3) Vorzulegende Nachweise sind gleichzeitig mit dem Antrag in elektronischer Form einzureichen und ihre Echtheit sowie inhaltliche Richtigkeit sind an Eides statt zu versichern. Bei vorzulegenden Schriftstücken kann die Bundesanstalt im Einzelfall die Vorlage des Originals verlangen.</w:t>
      </w:r>
    </w:p>
    <w:p>
      <w:r>
        <w:t xml:space="preserve">(4) Die näheren technischen Einzelheiten des elektronischen Verfahrens legt die Bundesanstalt fest. Die Festlegung nach Satz 1 ist im Bundesanzeiger zu veröffentlichen.</w:t>
      </w:r>
    </w:p>
    <w:p>
      <w:r>
        <w:rPr>
          <w:color w:val="555555"/>
          <w:sz w:val="17"/>
        </w:rPr>
        <w:t xml:space="preserve">Zitiervorschlag: § 14b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