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SeeFischG — Datenaustausch</w:t>
      </w:r>
    </w:p>
    <w:p>
      <w:r>
        <w:rPr>
          <w:color w:val="555555"/>
          <w:sz w:val="18"/>
        </w:rPr>
        <w:t xml:space="preserve">Seefischereigesetz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Bundesanstalt ist befugt, nach Maßgabe des Artikels 111 der Verordnung (EG) Nr. 1224/2009 die dort genannten Informationen anderen Mitgliedstaaten, der Europäischen Kommission und der Europäischen Fischereiaufsichtsagentur zur Verfügung zu stellen.</w:t>
      </w:r>
    </w:p>
    <w:p>
      <w:r>
        <w:rPr>
          <w:color w:val="555555"/>
          <w:sz w:val="17"/>
        </w:rPr>
        <w:t xml:space="preserve">Zitiervorschlag: § 11 SeeFischG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https://recht.nulegal.eu/gesetze/SeeFischG/11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