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SeeFischG — Anwendungsbereich</w:t>
      </w:r>
    </w:p>
    <w:p>
      <w:r>
        <w:rPr>
          <w:color w:val="555555"/>
          <w:sz w:val="18"/>
        </w:rPr>
        <w:t xml:space="preserve">Seefischereigesetz</w:t>
      </w:r>
    </w:p>
    <w:p>
      <w:r>
        <w:rPr>
          <w:color w:val="555555"/>
          <w:sz w:val="18"/>
        </w:rPr>
        <w:t xml:space="preserve">Stand: 01.06.2021 (konsolidierte Textfassung, kein amtliches Inkrafttretensdatum)</w:t>
      </w:r>
    </w:p>
    <w:p>
      <w:r>
        <w:t xml:space="preserve">(1) Dieses Gesetz dient</w:t>
      </w:r>
    </w:p>
    <w:p>
      <w:pPr>
        <w:ind w:left="420"/>
      </w:pPr>
      <w:r>
        <w:t xml:space="preserve">1. der Regelung der Seefischerei und</w:t>
      </w:r>
    </w:p>
    <w:p>
      <w:pPr>
        <w:ind w:left="420"/>
      </w:pPr>
      <w:r>
        <w:t xml:space="preserve">2. der Durchführung der Bestimmungen des Vertrages über die Arbeitsweise der Europäischen Union sowie der Rechtsakte der Europäischen Gemeinschaft oder der Europäischen Union, die zur Regelung der Ausübung der Seefischerei oder der Freizeitfischerei im Hinblick auf den Schutz der Fischbestände und die Erhaltung der biologischen Schätze des Meeres, die Überwachung oder die Strukturpolitik der Europäischen Union für die Fischwirtschaft erlassen worden sind (Fischereirecht der Europäischen Union), insbesondere der</w:t>
      </w:r>
    </w:p>
    <w:p>
      <w:pPr>
        <w:ind w:left="780"/>
      </w:pPr>
      <w:r>
        <w:t xml:space="preserve">a) Verordnung (EG) Nr. 1005/2008 des Rates vom 29. September 2008 über ein Gemeinschaftssystem zur Verhinderung, Bekämpfung und Unterbindung der illegalen, nicht gemeldeten und unregulierten Fischerei, zur Änderung der Verordnungen (EWG) Nr. 2847/93, (EG) Nr. 1936/2001 und (EG) Nr. 601/2004 und zur Aufhebung der Verordnungen (EG) Nr. 1093/94 und (EG) Nr. 1447/1999 (ABl. L 286 vom 29.10.2008, S. 1) in der jeweils geltenden Fassung,</w:t>
      </w:r>
    </w:p>
    <w:p>
      <w:pPr>
        <w:ind w:left="780"/>
      </w:pPr>
      <w:r>
        <w:t xml:space="preserve">b) Verordnung (EG) Nr. 1224/2009 des Rates vom 20. November 2009 zur Einführung einer gemeinschaftlichen Kontrollregelung zur Sicherstellung der Einhaltung der Vorschriften der gemeinsamen Fischereipolitik und zur Änderung der Verordnungen (EG) Nr. 847/96, (EG) Nr. 2371/2002, (EG) Nr. 811/2004, (EG) Nr. 768/2005, (EG) Nr. 2115/2005, (EG) Nr. 2166/2005, (EG) Nr. 388/2006, (EG) Nr. 509/2007, (EG) Nr. 676/2007, (EG) Nr. 1098/2007, (EG) Nr. 1300/2008, (EG) Nr. 1342/2008 sowie zur Aufhebung der Verordnungen (EWG) Nr. 2847/93, (EG) Nr. 1627/94 und (EG) Nr. 1966/2006 (ABl. L 343 vom 22.12.2009, S. 1) in der jeweils geltenden Fassung und</w:t>
      </w:r>
    </w:p>
    <w:p>
      <w:pPr>
        <w:ind w:left="780"/>
      </w:pPr>
      <w:r>
        <w:t xml:space="preserve">c) Rechtsakte der Europäischen Gemeinschaft oder der Europäischen Union, die im Rahmen der in den Buchstaben a und b genannten Verordnungen erlassen worden sind, in der jeweils geltenden Fassung.</w:t>
      </w:r>
    </w:p>
    <w:p>
      <w:r>
        <w:t xml:space="preserve">(2) In der Ausschließlichen Wirtschaftszone der Bundesrepublik Deutschland gelten das Fischereirecht der Europäischen Union, dieses Gesetz, die auf Grund dieses Gesetzes erlassenen Rechtsvorschriften sowie die sonstigen seefischereirechtlichen Vorschriften des Bundes auch für die Ausübung der Seefischerei von Fischereifahrzeugen aus, die nicht berechtigt sind, die Bundesflagge zu führen.</w:t>
      </w:r>
    </w:p>
    <w:p>
      <w:r>
        <w:t xml:space="preserve">(3) Im Übrigen ist § 3d des Seeaufgabengesetzes sinngemäß anzuwenden, soweit der Vollzug des Fischereirechts der Europäischen Union, dieses Gesetzes, der auf Grund dieses Gesetzes erlassenen Rechtsvorschriften sowie der sonstigen seefischereirechtlichen Vorschriften des Bundes Behörden des Bundes obliegt.</w:t>
      </w:r>
    </w:p>
    <w:p>
      <w:r>
        <w:rPr>
          <w:color w:val="555555"/>
          <w:sz w:val="17"/>
        </w:rPr>
        <w:t xml:space="preserve">Zitiervorschlag: § 1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