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8a SeeFSichV 1993 — Befahren des Panamakanals</w:t>
      </w:r>
    </w:p>
    <w:p>
      <w:r>
        <w:rPr>
          <w:color w:val="555555"/>
          <w:sz w:val="18"/>
        </w:rPr>
        <w:t xml:space="preserve">Verordnung über die Sicherung der Seefahrt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Betreiber eines Seeschiffes unter Bundesflagge, das den Panamakanal befahren will, hat sicherzustellen, dass</w:t>
      </w:r>
    </w:p>
    <w:p>
      <w:pPr>
        <w:ind w:left="420"/>
      </w:pPr>
      <w:r>
        <w:t xml:space="preserve">1. spätestens nach dem Einlaufen in den ersten Hafen des Kanals die Regeln für das Befahren des Panamakanals in der jeweils geltenden Fassung sich an Bord befinden und mitgeführt werden und</w:t>
      </w:r>
    </w:p>
    <w:p>
      <w:pPr>
        <w:ind w:left="420"/>
      </w:pPr>
      <w:r>
        <w:t xml:space="preserve">2. die für die Durchfahrt allgemein anerkannten Regeln der Technik und der seemännischen Praxis eingehalten werden.</w:t>
      </w:r>
    </w:p>
    <w:p>
      <w:r>
        <w:rPr>
          <w:color w:val="555555"/>
          <w:sz w:val="17"/>
        </w:rPr>
        <w:t xml:space="preserve">Zitiervorschlag: § 8a SeeFSichV 1993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https://recht.nulegal.eu/gesetze/SeeFSichV%201993/8a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