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SeeFSichV 1993 — Anwendungsbereich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auf den Seeschifffahrtsstraßen und darüber hinaus für Seeschiffe einschließlich Traditionsschiffe und Sportfahrzeuge im Sinne der Schiffssicherheitsverordnung vom 18. September 1998 (BGBl. I S. 3013, 3023) in der jeweils geltenden Fassung, die berechtigt sind, die Bundesflagge zu führen.</w:t>
      </w:r>
    </w:p>
    <w:p>
      <w:r>
        <w:t xml:space="preserve">(2) Diese Verordnung gilt nicht für Schiffe der Bundeswehr.</w:t>
      </w:r>
    </w:p>
    <w:p>
      <w:r>
        <w:t xml:space="preserve">(3) Sonst für die Sicherheit Verantwortlicher im Sinne dieser Verordnung ist die Person, die mit Aufgaben der Sicherung der Seefahrt beauftragt ist, im Rahmen der ihr übertragenen Aufgaben und Befugnisse.</w:t>
      </w:r>
    </w:p>
    <w:p>
      <w:r>
        <w:rPr>
          <w:color w:val="555555"/>
          <w:sz w:val="17"/>
        </w:rPr>
        <w:t xml:space="preserve">Zitiervorschlag: § 1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