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SeeEigensichV — Übergangsvorschrift zu § 7 Absatz 2a</w:t>
      </w:r>
    </w:p>
    <w:p>
      <w:r>
        <w:rPr>
          <w:color w:val="555555"/>
          <w:sz w:val="18"/>
        </w:rPr>
        <w:t xml:space="preserve">See-Eigensicherungsverordnung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Anträge nach § 7 Absatz 2a auf Genehmigung des Zusatzes zu dem Plan zur Gefahrenabwehr auf dem Schiff nach § 7 Absatz 1b in der ab dem 1. Dezember 2013 geltenden Fassung können bereits vor dem 1. Dezember 2013 bearbeitet werden. Genehmigungen werden frühestens mit Wirkung zum 1. Dezember 2013 erteilt.</w:t>
      </w:r>
    </w:p>
    <w:p>
      <w:r>
        <w:rPr>
          <w:color w:val="555555"/>
          <w:sz w:val="17"/>
        </w:rPr>
        <w:t xml:space="preserve">Zitiervorschlag: § 14 SeeEigensichV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https://recht.nulegal.eu/gesetze/SeeEigensichV/14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