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SeeBewachV — Anforderungen an die eingesetzten Personen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Bewachungsunternehmen darf für Bewachungsaufgaben nur Personen einsetzen, die</w:t>
      </w:r>
    </w:p>
    <w:p>
      <w:pPr>
        <w:ind w:left="420"/>
      </w:pPr>
      <w:r>
        <w:t xml:space="preserve">1. zuverlässig sind (§ 8),</w:t>
      </w:r>
    </w:p>
    <w:p>
      <w:pPr>
        <w:ind w:left="420"/>
      </w:pPr>
      <w:r>
        <w:t xml:space="preserve">2. mindestens 18 Jahre alt sind,</w:t>
      </w:r>
    </w:p>
    <w:p>
      <w:pPr>
        <w:ind w:left="420"/>
      </w:pPr>
      <w:r>
        <w:t xml:space="preserve">3. persönlich geeignet sind (§ 9) und</w:t>
      </w:r>
    </w:p>
    <w:p>
      <w:pPr>
        <w:ind w:left="420"/>
      </w:pPr>
      <w:r>
        <w:t xml:space="preserve">4. über die notwendige Sachkunde verfügen (§ 10).</w:t>
      </w:r>
    </w:p>
    <w:p>
      <w:r>
        <w:rPr>
          <w:color w:val="555555"/>
          <w:sz w:val="17"/>
        </w:rPr>
        <w:t xml:space="preserve">Zitiervorschlag: § 7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