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SeeBewachV — Betriebshaftpflichtversicherung</w:t>
      </w:r>
    </w:p>
    <w:p>
      <w:r>
        <w:rPr>
          <w:color w:val="555555"/>
          <w:sz w:val="18"/>
        </w:rPr>
        <w:t xml:space="preserve">Seeschiffbewachungsverordnung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Bewachungsunternehmen sind verpflichtet, für sich und die eingesetzten Wachpersonen zur Deckung der Schäden, die den Auftraggebern oder Dritten bei der Durchführung des Bewachungsvertrages entstehen, eine Betriebshaftpflichtversicherung nach Maßgabe des Absatzes 2 abzuschließen und für die Dauer ihrer Tätigkeit aufrechtzuerhalten.</w:t>
      </w:r>
    </w:p>
    <w:p>
      <w:r>
        <w:t xml:space="preserve">(2) Die Mindesthöhe der Versicherungssumme beträgt je Versicherungsfall für Personenschäden und Sachschäden 5 Millionen Euro und für Vermögensschäden 500 000 Euro. Die Leistungen des Versicherers für alle innerhalb eines Versicherungsjahres verursachten Schäden können auf den doppelten Betrag der Mindestversicherungssumme begrenzt werden.</w:t>
      </w:r>
    </w:p>
    <w:p>
      <w:r>
        <w:t xml:space="preserve">(3) Von der Versicherung kann die Haftung für Ersatzansprüche wegen wissentlicher Pflichtverletzung ausgeschlossen werden. Weitere Ausschlüsse sind nur insoweit zulässig, als sie marktüblich sind und dem Zweck der Betriebshaftpflichtversicherung nicht zuwiderlaufen.</w:t>
      </w:r>
    </w:p>
    <w:p>
      <w:r>
        <w:t xml:space="preserve">(4) Zuständige Stelle im Sinne des § 117 Absatz 2 des Versicherungsvertragsgesetzes vom 23. November 2007 (BGBl. I S. 2631), das zuletzt durch Artikel 1 des Gesetzes vom 24. April 2013 (BGBl. I S. 932) geändert worden ist, ist das Bundesamt für Wirtschaft und Ausfuhrkontrolle.</w:t>
      </w:r>
    </w:p>
    <w:p>
      <w:r>
        <w:rPr>
          <w:color w:val="555555"/>
          <w:sz w:val="17"/>
        </w:rPr>
        <w:t xml:space="preserve">Zitiervorschlag: § 12 SeeBewachV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https://recht.nulegal.eu/gesetze/SeeBewachV/12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