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SeeBewachV — Anforderungen an die Geschäftsleitung sowie an die mit der Leitung des Betriebes oder einer Zweigniederlassung beauftragten Personen</w:t>
      </w:r>
    </w:p>
    <w:p>
      <w:r>
        <w:rPr>
          <w:color w:val="555555"/>
          <w:sz w:val="18"/>
        </w:rPr>
        <w:t xml:space="preserve">Seeschiffbewachungsverordnung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7 Nummer 1, 2 und 3 gelten entsprechend für die Geschäftsleitung sowie die mit der Leitung des Betriebes oder einer Zweigniederlassung beauftragten Personen.</w:t>
      </w:r>
    </w:p>
    <w:p>
      <w:r>
        <w:t xml:space="preserve">(2) Die §§ 7 bis 10 gelten auch für den Verantwortlichen.</w:t>
      </w:r>
    </w:p>
    <w:p>
      <w:r>
        <w:t xml:space="preserve">(3) Zum Nachweis der Zuverlässigkeit im Sinne des § 7 Nummer 1 in Verbindung mit § 8 Absatz 1 bis 3 durch den Verantwortlichen sind dem Bundesamt für Wirtschaft und Ausfuhrkontrolle folgende Unterlagen vorzulegen:</w:t>
      </w:r>
    </w:p>
    <w:p>
      <w:pPr>
        <w:ind w:left="420"/>
      </w:pPr>
      <w:r>
        <w:t xml:space="preserve">1. eine Übersicht über die bisherigen Arbeitgeber,</w:t>
      </w:r>
    </w:p>
    <w:p>
      <w:pPr>
        <w:ind w:left="420"/>
      </w:pPr>
      <w:r>
        <w:t xml:space="preserve">2. eine Erklärung darüber, ob gegen die Person ein gerichtliches Strafverfahren oder ein staatsanwaltschaftliches Ermittlungsverfahren anhängig ist, sowie</w:t>
      </w:r>
    </w:p>
    <w:p>
      <w:pPr>
        <w:ind w:left="420"/>
      </w:pPr>
      <w:r>
        <w:t xml:space="preserve">3. ein Führungszeugnis zur Vorlage bei einer Behörde gemäß § 30 Absatz 5 des Bundeszentralregistergesetzes oder ein gleichwertiges ausländisches Dokument, das, sofern es nicht in deutscher Sprache abgefasst ist, in einer beglaubigten Übersetzung vorzulegen ist.</w:t>
      </w:r>
    </w:p>
    <w:p>
      <w:r>
        <w:t xml:space="preserve">(4) Sofern der Verantwortliche die Sachkunde nach Absatz 2 in Verbindung mit § 10 Absatz 1 durch eine polizeiliche oder militärische Ausbildung erworben hat, kann er dies durch eine Bescheinigung des früheren Dienstherrn nachweisen.</w:t>
      </w:r>
    </w:p>
    <w:p>
      <w:r>
        <w:rPr>
          <w:color w:val="555555"/>
          <w:sz w:val="17"/>
        </w:rPr>
        <w:t xml:space="preserve">Zitiervorschlag: § 11 SeeBewachV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