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SeeBewachDV</w:t>
      </w:r>
    </w:p>
    <w:p>
      <w:r>
        <w:rPr>
          <w:color w:val="555555"/>
          <w:sz w:val="18"/>
        </w:rPr>
        <w:t xml:space="preserve">Seeschiffbewachungsdurchführungsverordnung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 Absatz 4 Satz 2 bis 4 der Gewerbeordnung in Verbindung mit § 4 Absatz 2, § 5 Absatz 3 und § 6 Absatz 1 Satz 2 der Seeschiffbewachungsverordnung vom 11. Juni 2013 (BGBl. I S. 1562), von denen § 31 der Gewerbeordnung durch Artikel 1 Nummer 4 des Gesetzes vom 4. März 2013 (BGBl. I S. 362) eingefügt worden ist, verordnet das Bundesamt für Wirtschaft und Ausfuhrkontrolle im Einvernehmen mit dem Bundespolizeipräsidium und dem Bundesamt für Seeschifffahrt und Hydrographie unter Wahrung der Rechte des Bundestages:</w:t>
      </w:r>
    </w:p>
    <w:p>
      <w:r>
        <w:rPr>
          <w:color w:val="555555"/>
          <w:sz w:val="17"/>
        </w:rPr>
        <w:t xml:space="preserve">Zitiervorschlag: Eingangsformel SeeBewachDV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