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SeeBewachDV — Personalüberprüfungsprozess</w:t>
      </w:r>
    </w:p>
    <w:p>
      <w:r>
        <w:rPr>
          <w:color w:val="555555"/>
          <w:sz w:val="18"/>
        </w:rPr>
        <w:t xml:space="preserve">Seeschiffbewachungsdurchführungsverordnung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Zuverlässigkeit und persönliche Eignung der Wachpersonen ist im Abstand von höchstens zwölf Monaten gemäß den §§ 8 und 9 der Seeschiffbewachungsverordnung zu überprüfen. Die Prüfung ist zu dokumentieren.</w:t>
      </w:r>
    </w:p>
    <w:p>
      <w:r>
        <w:rPr>
          <w:color w:val="555555"/>
          <w:sz w:val="17"/>
        </w:rPr>
        <w:t xml:space="preserve">Zitiervorschlag: § 5 SeeBewachDV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