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SeeBewachDV — Ablauforganisation</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Zur Sicherstellung einer ordnungsgemäßen Ablauforganisation im Bewachungsunternehmen ist ein Prozesshandbuch zu erstellen. Darin sind unter Berücksichtigung der von der Bewachungsaufgabe ausgehenden Risiken die Verfahrensabläufe nach § 5 Absatz 1 der Seeschiffbewachungsverordnung und die jeweiligen Verantwortlichkeiten zu beschreiben.</w:t>
      </w:r>
    </w:p>
    <w:p>
      <w:r>
        <w:t xml:space="preserve">(2) Das Prozesshandbuch ist den Mitarbeitern als Leitfaden zur Verfügung zu stellen. Der Verantwortliche hat die Führung des Prozesshandbuchs sicherzustellen. Änderungen der Abläufe, insbesondere aufgrund von Veränderungen der rechtlichen Anforderungen, müssen unverzüglich in das Prozesshandbuch eingearbeitet werden. Die Änderungen sind den Mitarbeitern unverzüglich bekannt zu geben und es ist sicherzustellen, dass diese die Änderungen tatsächlich zur Kenntnis nehmen.</w:t>
      </w:r>
    </w:p>
    <w:p>
      <w:r>
        <w:rPr>
          <w:color w:val="555555"/>
          <w:sz w:val="17"/>
        </w:rPr>
        <w:t xml:space="preserve">Zitiervorschlag: § 3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