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SeeBewachDV — Ernennung eines Verantwortlichen</w:t>
      </w:r>
    </w:p>
    <w:p>
      <w:r>
        <w:rPr>
          <w:color w:val="555555"/>
          <w:sz w:val="18"/>
        </w:rPr>
        <w:t xml:space="preserve">Seeschiffbewachungsdurchführungsverordnung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leitender Angestellter ist, bestimmt sich nach § 5 Absatz 3 des Betriebsverfassungsgesetzes in der Fassung der Bekanntmachung vom 25. September 2001 (BGBl. I S. 2518), das zuletzt durch Artikel 3 Absatz 4 des Gesetzes vom 20. April 2013 (BGBl. I S. 2424) geändert worden ist.</w:t>
      </w:r>
    </w:p>
    <w:p>
      <w:r>
        <w:t xml:space="preserve">(2) Die Ernennung eines leitenden Angestellten zum Verantwortlichen durch die Geschäftsleitung des Bewachungsunternehmens und die Einhaltung der Anforderungen des § 11 Absatz 2 der Seeschiffbewachungsverordnung sind zu dokumentieren. Die Ernennung ist allen Mitarbeitern des Unternehmens in Textform bekannt zu geben. Mitarbeiter nach dieser Verordnung sind alle Beschäftigten des Bewachungsunternehmens einschließlich der eingesetzten Wachpersonen.</w:t>
      </w:r>
    </w:p>
    <w:p>
      <w:r>
        <w:rPr>
          <w:color w:val="555555"/>
          <w:sz w:val="17"/>
        </w:rPr>
        <w:t xml:space="preserve">Zitiervorschlag: § 1 SeeBewachDV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