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SeeArbG — Anspruch auf Verpflegung, Unterweisung</w:t>
      </w:r>
    </w:p>
    <w:p>
      <w:r>
        <w:rPr>
          <w:color w:val="555555"/>
          <w:sz w:val="18"/>
        </w:rPr>
        <w:t xml:space="preserve">Seearbeitsgesetz</w:t>
      </w:r>
    </w:p>
    <w:p>
      <w:r>
        <w:rPr>
          <w:color w:val="555555"/>
          <w:sz w:val="18"/>
        </w:rPr>
        <w:t xml:space="preserve">Stand: 10.06.2019 (konsolidierte Textfassung, kein amtliches Inkrafttretensdatum)</w:t>
      </w:r>
    </w:p>
    <w:p>
      <w:r>
        <w:t xml:space="preserve">(1) Das Besatzungsmitglied hat für die Dauer des Heuerverhältnisses Anspruch auf kostenfreie, angemessene und ausreichende Speisen und Getränke (Verpflegung) sowie Trinkwasser. Angemessen ist die Verpflegung, wenn sie hinsichtlich Nährwert, Güte und Abwechslung eine geeignete und ausgewogene Ernährung gewährleistet. Hierbei sind die Anzahl der Besatzungsmitglieder an Bord, ihre kulturellen Eigenheiten und religiösen Gebräuche sowie die Dauer und Art der Reise angemessen zu berücksichtigen.</w:t>
      </w:r>
    </w:p>
    <w:p>
      <w:r>
        <w:t xml:space="preserve">(2) Der Reeder hat dafür Sorge zu tragen, dass</w:t>
      </w:r>
    </w:p>
    <w:p>
      <w:pPr>
        <w:ind w:left="420"/>
      </w:pPr>
      <w:r>
        <w:t xml:space="preserve">1. das Trinkwasser, die Wasserversorgungsanlage und ihr Betrieb den geltenden trinkwasserrechtlichen Vorschriften,</w:t>
      </w:r>
    </w:p>
    <w:p>
      <w:pPr>
        <w:ind w:left="420"/>
      </w:pPr>
      <w:r>
        <w:t xml:space="preserve">2. die Verpflegung den geltenden lebensmittelrechtlichen Vorschriften</w:t>
      </w:r>
    </w:p>
    <w:p>
      <w:r>
        <w:t xml:space="preserve">entsprechen. Er hat sicherzustellen, dass das Küchen- und Bedienungspersonal entsprechend unterwiesen wird. Insbesondere hat er dafür zu sorgen, dass das Personal, das mit den in § 42 Absatz 1 des Infektionsschutzgesetzes bezeichneten Tätigkeiten mit Lebensmitteln beschäftigt werden soll, bei Dienstantritt an Bord und im Weiteren alle zwei Jahre im Sinne des § 43 Absatz 4 des Infektionsschutzgesetzes über Tätigkeitsverbote und Mitteilungspflichten belehrt wird. Die Belehrungen sind im Seetagebuch zu dokumentieren. Bei Tätigkeiten auf wechselnden Schiffen ist eine Abschrift oder Kopie zum Seetagebuch des jeweiligen Schiffes zu nehmen. § 43 Absatz 1 des Infektionsschutzgesetzes ist nicht anzuwenden.</w:t>
      </w:r>
    </w:p>
    <w:p>
      <w:r>
        <w:rPr>
          <w:color w:val="555555"/>
          <w:sz w:val="17"/>
        </w:rPr>
        <w:t xml:space="preserve">Zitiervorschlag: § 97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