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96 SeeArbG — Rechtsverordnungen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Das Bundesministerium für Arbeit und Soziales wird ermächtigt, im Einvernehmen mit dem Bundesministerium für Digitales und Verkehr durch Rechtsverordnung ohne Zustimmung des Bundesrates</w:t>
      </w:r>
    </w:p>
    <w:p>
      <w:pPr>
        <w:ind w:left="420"/>
      </w:pPr>
      <w:r>
        <w:t xml:space="preserve">1. die näheren Anforderungen an die Wohn- und Aufenthaltsräume, sanitären Anlagen, Wascheinrichtungen und Küchenräume sowie Freizeiteinrichtungen an Bord der Schiffe, einschließlich der zugehörigen Einrichtungen und Versorgungsanlagen, und deren Einsatzbereitschaft zu bestimmen,</w:t>
      </w:r>
    </w:p>
    <w:p>
      <w:pPr>
        <w:ind w:left="420"/>
      </w:pPr>
      <w:r>
        <w:t xml:space="preserve">2. die näheren Anforderungen an die medizinischen Räumlichkeiten an Bord der Schiffe und deren Einsatzbereitschaft, jeweils auch zur Sicherstellung einer ausreichenden medizinischen Behandlung und Versorgung, zu bestimmen.</w:t>
      </w:r>
    </w:p>
    <w:p>
      <w:r>
        <w:t xml:space="preserve">Rechtsverordnungen nach Satz 1 bedürfen des Einvernehmens</w:t>
      </w:r>
    </w:p>
    <w:p>
      <w:pPr>
        <w:ind w:left="420"/>
      </w:pPr>
      <w:r>
        <w:t xml:space="preserve">1. des Bundesministeriums für Ernährung und Landwirtschaft, soweit die Seefischerei betroffen ist,</w:t>
      </w:r>
    </w:p>
    <w:p>
      <w:pPr>
        <w:ind w:left="420"/>
      </w:pPr>
      <w:r>
        <w:t xml:space="preserve">2. des Bundesministeriums für Gesundheit im Falle des Satzes 1 Nummer 1.</w:t>
      </w:r>
    </w:p>
    <w:p>
      <w:r>
        <w:rPr>
          <w:color w:val="555555"/>
          <w:sz w:val="17"/>
        </w:rPr>
        <w:t xml:space="preserve">Zitiervorschlag: § 96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