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SeeArbG — Besuche, mitreisende Partner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betriebliche Belange sowie innerstaatliche oder internationale Rechtsvorschriften zur Gefahrenabwehr nicht entgegenstehen, hat der Kapitän den Besatzungsmitgliedern auf ihr Verlangen zu erlauben,</w:t>
      </w:r>
    </w:p>
    <w:p>
      <w:pPr>
        <w:ind w:left="420"/>
      </w:pPr>
      <w:r>
        <w:t xml:space="preserve">1. bei Hafenaufenthalten unverzüglich Besuch von ihren Partnern, Verwandten und Freunden an Bord zu empfangen,</w:t>
      </w:r>
    </w:p>
    <w:p>
      <w:pPr>
        <w:ind w:left="420"/>
      </w:pPr>
      <w:r>
        <w:t xml:space="preserve">2. sich gelegentlich von ihren Partnern auf Fahrten begleiten zu lassen.</w:t>
      </w:r>
    </w:p>
    <w:p>
      <w:r>
        <w:t xml:space="preserve">Mitreisende Partner sind verpflichtet, sich ausreichend gegen Unfall und Krankheit zu versichern. Der Reeder hat die Besatzungsmitglieder beim Abschluss einer solchen Versicherung zu unterstützen.</w:t>
      </w:r>
    </w:p>
    <w:p>
      <w:r>
        <w:rPr>
          <w:color w:val="555555"/>
          <w:sz w:val="17"/>
        </w:rPr>
        <w:t xml:space="preserve">Zitiervorschlag: § 95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