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94 SeeArbG — Zugang zu Kommunikationseinrichtungen</w:t>
      </w:r>
    </w:p>
    <w:p>
      <w:r>
        <w:rPr>
          <w:color w:val="555555"/>
          <w:sz w:val="18"/>
        </w:rPr>
        <w:t xml:space="preserve">Seearbeitsgesetz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Kapitän hat den Besatzungsmitgliedern auf ihr Verlangen angemessenen und preisgünstigen Zugang zu Schiff-Land-Fernsprechverbindungen, E-Mail-Diensten und Internet-Diensten zu gewähren, soweit solche Einrichtungen an Bord vorhanden sind. Der Reeder hat sicherzustellen, dass</w:t>
      </w:r>
    </w:p>
    <w:p>
      <w:pPr>
        <w:ind w:left="420"/>
      </w:pPr>
      <w:r>
        <w:t xml:space="preserve">1. die an ein Besatzungsmitglied gerichtete Post unverzüglich zugestellt wird und</w:t>
      </w:r>
    </w:p>
    <w:p>
      <w:pPr>
        <w:ind w:left="420"/>
      </w:pPr>
      <w:r>
        <w:t xml:space="preserve">2. das Besatzungsmitglied kein Nachporto zu zahlen hat, wenn seine Post aus Gründen, die sich seinem Einfluss entziehen, umadressiert werden muss.</w:t>
      </w:r>
    </w:p>
    <w:p>
      <w:r>
        <w:rPr>
          <w:color w:val="555555"/>
          <w:sz w:val="17"/>
        </w:rPr>
        <w:t xml:space="preserve">Zitiervorschlag: § 94 SeeArbG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https://recht.nulegal.eu/gesetze/SeeArbG/94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