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SeeArbG — Anspruch auf Unterkunft</w:t>
      </w:r>
    </w:p>
    <w:p>
      <w:r>
        <w:rPr>
          <w:color w:val="555555"/>
          <w:sz w:val="18"/>
        </w:rPr>
        <w:t xml:space="preserve">Seearbeitsgesetz</w:t>
      </w:r>
    </w:p>
    <w:p>
      <w:r>
        <w:rPr>
          <w:color w:val="555555"/>
          <w:sz w:val="18"/>
        </w:rPr>
        <w:t xml:space="preserve">Stand: 10.06.2019 (konsolidierte Textfassung, kein amtliches Inkrafttretensdatum)</w:t>
      </w:r>
    </w:p>
    <w:p>
      <w:r>
        <w:t xml:space="preserve">(1) Jedes Besatzungsmitglied hat für die Dauer des Heuerverhältnisses Anspruch auf sichere, gesunde und menschenwürdige Unterkunft und Einrichtungen einschließlich sicherer Aufbewahrung seiner Kleidungsstücke und seiner anderen Gebrauchsgegenstände auf dem Schiff, soweit Fahrtdauer und Einsatzbedingungen des Schiffes dies erfordern. Dabei sind die sozialen, kulturellen und religiösen Bedürfnisse der Besatzungsmitglieder angemessen zu berücksichtigen.</w:t>
      </w:r>
    </w:p>
    <w:p>
      <w:r>
        <w:t xml:space="preserve">(2) Jedes Besatzungsmitglied ist verpflichtet, die ihm zur Verfügung gestellten Räume und Einrichtungsgegenstände pfleglich zu behandeln.</w:t>
      </w:r>
    </w:p>
    <w:p>
      <w:r>
        <w:t xml:space="preserve">(3) Der Kapitän oder ein von ihm damit beauftragter Schiffsoffizier hat die Unterkunftsräume und Freizeiteinrichtungen mindestens einmal monatlich zu besichtigen, damit sichergestellt ist, dass diese Räume und Einrichtungen sauber, angemessen wohnlich sind und sich in einem guten Allgemeinzustand befinden. Bei Räumen, die als Wohnung genutzt werden, darf die Besichtigung nur mit Zustimmung des jeweils betroffenen Besatzungsmitglieds erfolgen. Die Ergebnisse jeder Besichtigung sind im Seetagebuch einzutragen und für Kontrollen bereitzuhalten.</w:t>
      </w:r>
    </w:p>
    <w:p>
      <w:r>
        <w:t xml:space="preserve">(4) Kann dem Besatzungsmitglied aus besonderen, von ihm nicht zu vertretenden Gründen eine Unterkunft auf dem Schiff nicht gewährt werden, so hat es Anspruch auf eine anderweitige angemessene Unterkunft oder Zahlung des dafür erforderlichen Geldbetrages.</w:t>
      </w:r>
    </w:p>
    <w:p>
      <w:r>
        <w:rPr>
          <w:color w:val="555555"/>
          <w:sz w:val="17"/>
        </w:rPr>
        <w:t xml:space="preserve">Zitiervorschlag: § 93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