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SeeArbG — Bemessung und Fälligkeit der Vergütung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Vergütung bemisst sich nach Kalendermonaten. Bei Berechnung der Vergütung für einzelne Tage wird der Kalendermonat zu 30 Tagen gerechnet.</w:t>
      </w:r>
    </w:p>
    <w:p>
      <w:r>
        <w:t xml:space="preserve">(2) Die Vergütung ist mit Ablauf eines jeden Kalendermonats oder bei Beendigung des Berufsausbildungsverhältnisses fällig. Die Vorschrift des § 19 des Berufsbildungsgesetzes über die Fortzahlung der Vergütung ist entsprechend anzuwenden.</w:t>
      </w:r>
    </w:p>
    <w:p>
      <w:r>
        <w:rPr>
          <w:color w:val="555555"/>
          <w:sz w:val="17"/>
        </w:rPr>
        <w:t xml:space="preserve">Zitiervorschlag: § 85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