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74 SeeArbG — Heimschaffung eines jugendlichen Besatzungsmitglieds</w:t>
      </w:r>
    </w:p>
    <w:p>
      <w:r>
        <w:rPr>
          <w:color w:val="555555"/>
          <w:sz w:val="18"/>
        </w:rPr>
        <w:t xml:space="preserve">Seearbeitsgesetz</w:t>
      </w:r>
    </w:p>
    <w:p>
      <w:r>
        <w:rPr>
          <w:color w:val="555555"/>
          <w:sz w:val="18"/>
        </w:rPr>
        <w:t xml:space="preserve">Stand: 10.06.2019 (konsolidierte Textfassung, kein amtliches Inkrafttretensdatum)</w:t>
      </w:r>
    </w:p>
    <w:p>
      <w:r>
        <w:t xml:space="preserve">Hat ein jugendliches Besatzungsmitglied während seiner ersten Auslandsreise auf einem Schiff mindestens vier Monate lang Dienst getan und stellt sich während dieser Zeit heraus, dass es für das Leben auf See ungeeignet ist, so hat es einen Anspruch auf Heimschaffung von einem Hafen, in dem die Heimschaffung sicher und mit allgemein zugänglichen Verkehrsmitteln möglich ist.</w:t>
      </w:r>
    </w:p>
    <w:p>
      <w:r>
        <w:rPr>
          <w:color w:val="555555"/>
          <w:sz w:val="17"/>
        </w:rPr>
        <w:t xml:space="preserve">Zitiervorschlag: § 74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https://recht.nulegal.eu/gesetze/SeeArbG/74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