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SeeArbG — Zurücklassung</w:t>
      </w:r>
    </w:p>
    <w:p>
      <w:r>
        <w:rPr>
          <w:color w:val="555555"/>
          <w:sz w:val="18"/>
        </w:rPr>
        <w:t xml:space="preserve">Seearbeitsgesetz</w:t>
      </w:r>
    </w:p>
    <w:p>
      <w:r>
        <w:rPr>
          <w:color w:val="555555"/>
          <w:sz w:val="18"/>
        </w:rPr>
        <w:t xml:space="preserve">Stand: 10.06.2019 (konsolidierte Textfassung, kein amtliches Inkrafttretensdatum)</w:t>
      </w:r>
    </w:p>
    <w:p>
      <w:r>
        <w:t xml:space="preserve">(1) Unbeschadet der Vorschrift des § 101 darf das Besatzungsmitglied ohne Einwilligung der Berufsgenossenschaft nicht an einem Ort im Ausland zurückgelassen werden. Eine Zurücklassung liegt vor, wenn das Besatzungsmitglied auf Veranlassung des Kapitäns das Schiff verlassen muss.</w:t>
      </w:r>
    </w:p>
    <w:p>
      <w:r>
        <w:t xml:space="preserve">(2) Ist im Falle der Zurücklassung eine Hilfsbedürftigkeit des Besatzungsmitglieds zu befürchten, so kann die Berufsgenossenschaft ihre Einwilligung von der Leistung eines Betrages abhängig machen, der den Unterhalt des Besatzungsmitglieds in den auf die Zurücklassung folgenden drei Monaten gewährleistet.</w:t>
      </w:r>
    </w:p>
    <w:p>
      <w:r>
        <w:t xml:space="preserve">(3) Die Zurücklassung eines jugendlichen Besatzungsmitglieds bedarf auch der Einwilligung seines gesetzlichen Vertreters.</w:t>
      </w:r>
    </w:p>
    <w:p>
      <w:r>
        <w:rPr>
          <w:color w:val="555555"/>
          <w:sz w:val="17"/>
        </w:rPr>
        <w:t xml:space="preserve">Zitiervorschlag: § 72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