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SeeArbG — Außerordentliche Kündigung durch das Besatzungsmitglied wegen dringender Familienangelegenheit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Besatzungsmitglied kann das Heuerverhältnis ohne Einhaltung einer Frist kündigen, wenn dies wegen einer dringenden Familienangelegenheit oder wegen eines anderen dringenden persönlichen Grundes erforderlich ist. Dringende Familienangelegenheiten sind insbesondere</w:t>
      </w:r>
    </w:p>
    <w:p>
      <w:pPr>
        <w:ind w:left="420"/>
      </w:pPr>
      <w:r>
        <w:t xml:space="preserve">1. Niederkunft der Ehefrau oder der Lebenspartnerin,</w:t>
      </w:r>
    </w:p>
    <w:p>
      <w:pPr>
        <w:ind w:left="420"/>
      </w:pPr>
      <w:r>
        <w:t xml:space="preserve">2. Tod der Ehefrau oder des Ehemanns, eines Kindes, eines Elternteiles oder des Lebenspartners,</w:t>
      </w:r>
    </w:p>
    <w:p>
      <w:pPr>
        <w:ind w:left="420"/>
      </w:pPr>
      <w:r>
        <w:t xml:space="preserve">3. schwere Erkrankung der Ehefrau oder des Ehemanns, eines Kindes, eines Elternteiles oder des Lebenspartners.</w:t>
      </w:r>
    </w:p>
    <w:p>
      <w:r>
        <w:rPr>
          <w:color w:val="555555"/>
          <w:sz w:val="17"/>
        </w:rPr>
        <w:t xml:space="preserve">Zitiervorschlag: § 69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