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SeeArbG — Außerordentliche Kündigung durch das Besatzungsmitglied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Besatzungsmitglied kann das Heuerverhältnis aus wichtigem Grund ohne Einhaltung einer Kündigungsfrist nach § 626 des Bürgerlichen Gesetzbuchs kündigen. Ein wichtiger Grund liegt insbesondere vor, wenn</w:t>
      </w:r>
    </w:p>
    <w:p>
      <w:pPr>
        <w:ind w:left="420"/>
      </w:pPr>
      <w:r>
        <w:t xml:space="preserve">1. sich der Reeder oder der Kapitän ihm gegenüber einer schweren Pflichtverletzung schuldig macht,</w:t>
      </w:r>
    </w:p>
    <w:p>
      <w:pPr>
        <w:ind w:left="420"/>
      </w:pPr>
      <w:r>
        <w:t xml:space="preserve">2. der Kapitän es in erheblicher Weise in der Ehre verletzt, es misshandelt oder seine Misshandlung durch andere Personen duldet,</w:t>
      </w:r>
    </w:p>
    <w:p>
      <w:pPr>
        <w:ind w:left="420"/>
      </w:pPr>
      <w:r>
        <w:t xml:space="preserve">3. das Schiff die Flagge wechselt,</w:t>
      </w:r>
    </w:p>
    <w:p>
      <w:pPr>
        <w:ind w:left="420"/>
      </w:pPr>
      <w:r>
        <w:t xml:space="preserve">4. der Vorschrift des § 58 Absatz 1 Satz 2 und 3 zuwider Urlaub nicht gewährt wird,</w:t>
      </w:r>
    </w:p>
    <w:p>
      <w:pPr>
        <w:ind w:left="420"/>
      </w:pPr>
      <w:r>
        <w:t xml:space="preserve">5. das Schiff einen verseuchten Hafen anlaufen soll oder einen Hafen bei Ausbruch einer Seuche nicht unverzüglich verlässt und sich daraus schwere gesundheitliche Gefahren für das Besatzungsmitglied ergeben können,</w:t>
      </w:r>
    </w:p>
    <w:p>
      <w:pPr>
        <w:ind w:left="420"/>
      </w:pPr>
      <w:r>
        <w:t xml:space="preserve">6. das Schiff ein Gebiet befahren soll, in dem es besonderen Gefahren durch bewaffnete Auseinandersetzungen ausgesetzt ist, oder wenn das Schiff ein solches Gebiet nicht unverzüglich verlässt,</w:t>
      </w:r>
    </w:p>
    <w:p>
      <w:pPr>
        <w:ind w:left="420"/>
      </w:pPr>
      <w:r>
        <w:t xml:space="preserve">7. das Schiff nicht seetüchtig ist,</w:t>
      </w:r>
    </w:p>
    <w:p>
      <w:pPr>
        <w:ind w:left="420"/>
      </w:pPr>
      <w:r>
        <w:t xml:space="preserve">8. die Aufenthaltsräume für die Besatzung gesundheitsschädlich sind,</w:t>
      </w:r>
    </w:p>
    <w:p>
      <w:pPr>
        <w:ind w:left="420"/>
      </w:pPr>
      <w:r>
        <w:t xml:space="preserve">9. die für die Schiffsbesatzung mitgenommenen Verpflegungsvorräte oder das Trinkwasser ungenügend oder verdorben sind oder</w:t>
      </w:r>
    </w:p>
    <w:p>
      <w:pPr>
        <w:ind w:left="420"/>
      </w:pPr>
      <w:r>
        <w:t xml:space="preserve">10. das Schiff unzureichend besetzt ist.</w:t>
      </w:r>
    </w:p>
    <w:p>
      <w:r>
        <w:t xml:space="preserve">Im Falle des Satzes 2 Nummer 7 bis 10 ist das Besatzungsmitglied zur außerordentlichen Kündigung jedoch nur berechtigt, wenn der Verstoß in angemessener Frist auf Beschwerde hin nicht beseitigt wird. Das Kündigungsrecht nach Satz 2 Nummer 5 oder 6 entfällt, wenn dem Besatzungsmitglied die Gründe, die zur Kündigung berechtigen, vor Antritt der Reise bekannt waren oder den Umständen nach bekannt sein mussten.</w:t>
      </w:r>
    </w:p>
    <w:p>
      <w:r>
        <w:t xml:space="preserve">(2) In den Fällen des Absatzes 1 hat das Besatzungsmitglied ab dem Zeitpunkt der Kündigung Anspruch auf Zahlung der Heuer für einen Monat. Schadensersatzansprüche auf Grund anderer Vorschriften bleiben unberührt.</w:t>
      </w:r>
    </w:p>
    <w:p>
      <w:r>
        <w:rPr>
          <w:color w:val="555555"/>
          <w:sz w:val="17"/>
        </w:rPr>
        <w:t xml:space="preserve">Zitiervorschlag: § 68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