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SeeArbG — Außerordentliche Kündigung durch den Reeder</w:t>
      </w:r>
    </w:p>
    <w:p>
      <w:r>
        <w:rPr>
          <w:color w:val="555555"/>
          <w:sz w:val="18"/>
        </w:rPr>
        <w:t xml:space="preserve">Seearbeitsgesetz</w:t>
      </w:r>
    </w:p>
    <w:p>
      <w:r>
        <w:rPr>
          <w:color w:val="555555"/>
          <w:sz w:val="18"/>
        </w:rPr>
        <w:t xml:space="preserve">Stand: 10.06.2019 (konsolidierte Textfassung, kein amtliches Inkrafttretensdatum)</w:t>
      </w:r>
    </w:p>
    <w:p>
      <w:r>
        <w:t xml:space="preserve">(1) Der Reeder kann das Heuerverhältnis aus wichtigem Grund ohne Einhaltung einer Kündigungsfrist nach § 626 des Bürgerlichen Gesetzbuchs kündigen. Ein wichtiger Grund liegt insbesondere vor, wenn das Besatzungsmitglied</w:t>
      </w:r>
    </w:p>
    <w:p>
      <w:pPr>
        <w:ind w:left="420"/>
      </w:pPr>
      <w:r>
        <w:t xml:space="preserve">1. für den übernommenen Dienst aus Gründen, die schon vor der Begründung des Heuerverhältnisses bestanden, ungeeignet ist, es sei denn, dass dem Reeder diese Gründe zu diesem Zeitpunkt bekannt waren oder den Umständen nach bekannt sein mussten,</w:t>
      </w:r>
    </w:p>
    <w:p>
      <w:pPr>
        <w:ind w:left="420"/>
      </w:pPr>
      <w:r>
        <w:t xml:space="preserve">2. eine ansteckende Krankheit verschweigt, durch die es andere gefährdet, oder nicht angibt, dass es Dauerausscheider von Erregern des Typhus oder des Paratyphus ist,</w:t>
      </w:r>
    </w:p>
    <w:p>
      <w:pPr>
        <w:ind w:left="420"/>
      </w:pPr>
      <w:r>
        <w:t xml:space="preserve">3. seine Pflichten aus dem Heuerverhältnis beharrlich oder in besonders grober Weise verletzt,</w:t>
      </w:r>
    </w:p>
    <w:p>
      <w:pPr>
        <w:ind w:left="420"/>
      </w:pPr>
      <w:r>
        <w:t xml:space="preserve">4. eine Straftat begeht, die sein weiteres Verbleiben an Bord unzumutbar macht,</w:t>
      </w:r>
    </w:p>
    <w:p>
      <w:pPr>
        <w:ind w:left="420"/>
      </w:pPr>
      <w:r>
        <w:t xml:space="preserve">5. durch eine von ihm begangene Straftat arbeitsunfähig wird.</w:t>
      </w:r>
    </w:p>
    <w:p>
      <w:r>
        <w:t xml:space="preserve">(2) Der Kapitän ist verpflichtet, die außerordentliche Kündigung und deren Grund unverzüglich in das Seetagebuch einzutragen und dem Besatzungsmitglied eine von ihm unterzeichnete Abschrift der Eintragung auszuhändigen.</w:t>
      </w:r>
    </w:p>
    <w:p>
      <w:r>
        <w:t xml:space="preserve">(3) Wird die außerordentliche Kündigung auf See ausgesprochen oder bleibt das Besatzungsmitglied nach einer außerordentlichen Kündigung an Bord, so hat es den Verpflegungssatz zu entrichten, der dem Abgeltungsbetrag für nicht gewährte Verpflegung während des Urlaubs (§ 61 Absatz 1 Satz 2) entspricht.</w:t>
      </w:r>
    </w:p>
    <w:p>
      <w:r>
        <w:rPr>
          <w:color w:val="555555"/>
          <w:sz w:val="17"/>
        </w:rPr>
        <w:t xml:space="preserve">Zitiervorschlag: § 67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