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SeeArbG — Kündigungsfristen</w:t>
      </w:r>
    </w:p>
    <w:p>
      <w:r>
        <w:rPr>
          <w:color w:val="555555"/>
          <w:sz w:val="18"/>
        </w:rPr>
        <w:t xml:space="preserve">Seearbeitsgesetz</w:t>
      </w:r>
    </w:p>
    <w:p>
      <w:r>
        <w:rPr>
          <w:color w:val="555555"/>
          <w:sz w:val="18"/>
        </w:rPr>
        <w:t xml:space="preserve">Stand: 10.06.2019 (konsolidierte Textfassung, kein amtliches Inkrafttretensdatum)</w:t>
      </w:r>
    </w:p>
    <w:p>
      <w:r>
        <w:t xml:space="preserve">(1) Das Heuerverhältnis kann während der ersten drei Monate mit einer Frist von einer Woche gekündigt werden. Dauert die erste Reise länger als drei Monate, so kann die Kündigung während der ersten sechs Monate noch in den auf die Beendigung der Reise folgenden drei Tagen mit Wochenfrist ausgesprochen werden. Nach Ablauf der in den Sätzen 1 und 2 bezeichneten Zeiten beträgt die Kündigungsfrist vier Wochen zum 15. Tag oder zum Ende eines Kalendermonats. Die Kündigungsfrist erhöht sich auf zwei Monate zum Ende eines Kalendermonats, wenn das Heuerverhältnis in dem Betrieb oder Unternehmen zwei Jahre bestanden hat. Die Sätze 1 und 2 gelten nicht für den Kapitän; für ihn gelten von Beginn des Heuerverhältnisses an die Fristen nach Satz 3.</w:t>
      </w:r>
    </w:p>
    <w:p>
      <w:r>
        <w:t xml:space="preserve">(2) Abweichend von Absatz 1 kann das Heuerverhältnis des Besatzungsmitglieds auf einem Fischereifahrzeug mit einer Bruttoraumzahl von bis zu 1 300 mit einer Frist von 48 Stunden gekündigt werden. Dies gilt nicht für den Kapitän.</w:t>
      </w:r>
    </w:p>
    <w:p>
      <w:r>
        <w:t xml:space="preserve">(3) Für eine Kündigung durch den Reeder beträgt die Kündigungsfrist, wenn das Heuerverhältnis in dem Betrieb oder Unternehmen</w:t>
      </w:r>
    </w:p>
    <w:p>
      <w:pPr>
        <w:ind w:left="420"/>
      </w:pPr>
      <w:r>
        <w:t xml:space="preserve">1. acht Jahre bestanden hat, drei Monate zum Ende eines Kalendermonats,</w:t>
      </w:r>
    </w:p>
    <w:p>
      <w:pPr>
        <w:ind w:left="420"/>
      </w:pPr>
      <w:r>
        <w:t xml:space="preserve">2. zehn Jahre bestanden hat, vier Monate zum Ende eines Kalendermonats,</w:t>
      </w:r>
    </w:p>
    <w:p>
      <w:pPr>
        <w:ind w:left="420"/>
      </w:pPr>
      <w:r>
        <w:t xml:space="preserve">3. zwölf Jahre bestanden hat, fünf Monate zum Ende eines Kalendermonats,</w:t>
      </w:r>
    </w:p>
    <w:p>
      <w:pPr>
        <w:ind w:left="420"/>
      </w:pPr>
      <w:r>
        <w:t xml:space="preserve">4. 15 Jahre bestanden hat, sechs Monate zum Ende eines Kalendermonats,</w:t>
      </w:r>
    </w:p>
    <w:p>
      <w:pPr>
        <w:ind w:left="420"/>
      </w:pPr>
      <w:r>
        <w:t xml:space="preserve">5. 20 Jahre bestanden hat, sieben Monate zum Ende eines Kalendermonats.</w:t>
      </w:r>
    </w:p>
    <w:p>
      <w:r>
        <w:t xml:space="preserve">(4) § 622 Absatz 3 bis 6 des Bürgerlichen Gesetzbuchs ist entsprechend anzuwenden.</w:t>
      </w:r>
    </w:p>
    <w:p>
      <w:r>
        <w:t xml:space="preserve">(5) Soweit nichts anderes vereinbart wird, setzt sich das Heuerverhältnis über den Ablauf der Kündigungsfrist bis zur Ankunft des Schiffes in einem Hafen fort, in dem die Heimschaffung des Besatzungsmitglieds und seine Ablösung durch eine Ersatzperson sicher und mit allgemein zugänglichen Verkehrsmitteln möglich ist.</w:t>
      </w:r>
    </w:p>
    <w:p>
      <w:r>
        <w:rPr>
          <w:color w:val="555555"/>
          <w:sz w:val="17"/>
        </w:rPr>
        <w:t xml:space="preserve">Zitiervorschlag: § 66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