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SeeArbG — Kündigungsrecht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Heuerverhältnis kann durch den Reeder und durch das Besatzungsmitglied gekündigt werden.</w:t>
      </w:r>
    </w:p>
    <w:p>
      <w:r>
        <w:t xml:space="preserve">(2) Die Beendigung des Heuerverhältnisses durch Kündigung bedarf zu ihrer Wirksamkeit der Schriftform. Die elektronische Form ist ausgeschlossen.</w:t>
      </w:r>
    </w:p>
    <w:p>
      <w:r>
        <w:t xml:space="preserve">(3) Die ordentliche Kündigung gegenüber einem Kapitän oder einem Schiffsoffizier kann nur vom Reeder ausgesprochen werden.</w:t>
      </w:r>
    </w:p>
    <w:p>
      <w:r>
        <w:t xml:space="preserve">(4) Für die Kündigung des Heuerverhältnisses gelten die allgemeinen Vorschriften über die Kündigung von Arbeitsverhältnissen, soweit in diesem Unterabschnitt nichts anderes bestimmt ist.</w:t>
      </w:r>
    </w:p>
    <w:p>
      <w:r>
        <w:rPr>
          <w:color w:val="555555"/>
          <w:sz w:val="17"/>
        </w:rPr>
        <w:t xml:space="preserve">Zitiervorschlag: § 65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