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SeeArbG — Urlaubsdauer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Urlaub der Besatzungsmitglieder beträgt für jedes Beschäftigungsjahr mindestens 30 Kalendertage.</w:t>
      </w:r>
    </w:p>
    <w:p>
      <w:r>
        <w:t xml:space="preserve">(2) Der Urlaub jugendlicher Besatzungsmitglieder beträgt für jedes Beschäftigungsjahr mindestens</w:t>
      </w:r>
    </w:p>
    <w:p>
      <w:pPr>
        <w:ind w:left="420"/>
      </w:pPr>
      <w:r>
        <w:t xml:space="preserve">1. 34 Kalendertage, wenn sie zu Beginn des Beschäftigungsjahres noch nicht 17 Jahre alt sind,</w:t>
      </w:r>
    </w:p>
    <w:p>
      <w:pPr>
        <w:ind w:left="420"/>
      </w:pPr>
      <w:r>
        <w:t xml:space="preserve">2. 32 Kalendertage, wenn sie zu Beginn des Beschäftigungsjahres noch nicht 18 Jahre alt sind.</w:t>
      </w:r>
    </w:p>
    <w:p>
      <w:r>
        <w:t xml:space="preserve">(3) Nicht auf den Urlaub anzurechnen sind</w:t>
      </w:r>
    </w:p>
    <w:p>
      <w:pPr>
        <w:ind w:left="420"/>
      </w:pPr>
      <w:r>
        <w:t xml:space="preserve">1. gesetzliche Feiertage, die am Ort des Heimathafens gelten,</w:t>
      </w:r>
    </w:p>
    <w:p>
      <w:pPr>
        <w:ind w:left="420"/>
      </w:pPr>
      <w:r>
        <w:t xml:space="preserve">2. Zeiten einer Arbeitsunfähigkeit infolge Krankheit oder Unfall sowie Arbeitsausfälle infolge Mutterschaft,</w:t>
      </w:r>
    </w:p>
    <w:p>
      <w:pPr>
        <w:ind w:left="420"/>
      </w:pPr>
      <w:r>
        <w:t xml:space="preserve">3. Landgang nach § 35 und</w:t>
      </w:r>
    </w:p>
    <w:p>
      <w:pPr>
        <w:ind w:left="420"/>
      </w:pPr>
      <w:r>
        <w:t xml:space="preserve">4. Ausgleichsfreizeiten nach § 52.</w:t>
      </w:r>
    </w:p>
    <w:p>
      <w:r>
        <w:rPr>
          <w:color w:val="555555"/>
          <w:sz w:val="17"/>
        </w:rPr>
        <w:t xml:space="preserve">Zitiervorschlag: § 57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