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SeeArbG — Urlaubsanspruch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Besatzungsmitglied hat für jedes Beschäftigungsjahr Anspruch auf bezahlten Erholungsurlaub. Der Anspruch auf Erholungsurlaub darf nur unter den Voraussetzungen des § 64 Absatz 3 abgegolten werden.</w:t>
      </w:r>
    </w:p>
    <w:p>
      <w:r>
        <w:t xml:space="preserve">(2) Soweit nachfolgend nichts anderes bestimmt ist, ist das Bundesurlaubsgesetz anzuwenden.</w:t>
      </w:r>
    </w:p>
    <w:p>
      <w:r>
        <w:rPr>
          <w:color w:val="555555"/>
          <w:sz w:val="17"/>
        </w:rPr>
        <w:t xml:space="preserve">Zitiervorschlag: § 56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