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SeeArbG — Rechtsverordnungen</w:t>
      </w:r>
    </w:p>
    <w:p>
      <w:r>
        <w:rPr>
          <w:color w:val="555555"/>
          <w:sz w:val="18"/>
        </w:rPr>
        <w:t xml:space="preserve">Seearbeitsgesetz</w:t>
      </w:r>
    </w:p>
    <w:p>
      <w:r>
        <w:rPr>
          <w:color w:val="555555"/>
          <w:sz w:val="18"/>
        </w:rPr>
        <w:t xml:space="preserve">Stand: 21.03.2023 (konsolidierte Textfassung, kein amtliches Inkrafttretensdatum)</w:t>
      </w:r>
    </w:p>
    <w:p>
      <w:r>
        <w:t xml:space="preserve">Das Bundesministerium für Arbeit und Soziales wird ermächtigt, im Einvernehmen mit dem Bundesministerium für Digitales und Verkehr durch Rechtsverordnung ohne Zustimmung des Bundesrates</w:t>
      </w:r>
    </w:p>
    <w:p>
      <w:pPr>
        <w:ind w:left="420"/>
      </w:pPr>
      <w:r>
        <w:t xml:space="preserve">1. die näheren Anforderungen zum Führen der Übersicht über die Arbeitsorganisation und die Arbeitszeitnachweise nach § 50 Absatz 1 und 2 zu bestimmen,</w:t>
      </w:r>
    </w:p>
    <w:p>
      <w:pPr>
        <w:ind w:left="420"/>
      </w:pPr>
      <w:r>
        <w:t xml:space="preserve">2. weitergehende Vorschriften zu der Übersicht über die Arbeitsorganisation und den Arbeitszeitnachweisen nach § 50 zu erlassen,</w:t>
      </w:r>
    </w:p>
    <w:p>
      <w:pPr>
        <w:ind w:left="420"/>
      </w:pPr>
      <w:r>
        <w:t xml:space="preserve">3. abweichend von den §§ 43, 44, 45 und 48 Regelungen zur Arbeitszeit sowie zu den Ruhepausen und zur Ruhezeit für Besatzungsmitglieder auf Schiffen, von denen aus besondere Tätigkeiten zur Errichtung, zur Änderung oder zum Betrieb von Bauwerken, künstlichen Inseln oder sonstigen Anlagen auf See durchgeführt werden (Offshore-Tätigkeiten), zuzulassen und die zum Schutz der Besatzungsmitglieder notwendigen Bedingungen zu bestimmen.</w:t>
      </w:r>
    </w:p>
    <w:p>
      <w:r>
        <w:t xml:space="preserve">Rechtsverordnungen nach Satz 1 bedürfen des Einvernehmens des Bundesministeriums für Ernährung und Landwirtschaft, soweit die Seefischerei betroffen ist.</w:t>
      </w:r>
    </w:p>
    <w:p>
      <w:r>
        <w:rPr>
          <w:color w:val="555555"/>
          <w:sz w:val="17"/>
        </w:rPr>
        <w:t xml:space="preserve">Zitiervorschlag: § 55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