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SeeArbG — Übersicht über die Arbeitsorganisation, Arbeitszeitnachweise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jedem Schiff ist eine Übersicht über die Arbeitsorganisation an Bord zu führen, die Folgendes enthalten muss:</w:t>
      </w:r>
    </w:p>
    <w:p>
      <w:pPr>
        <w:ind w:left="420"/>
      </w:pPr>
      <w:r>
        <w:t xml:space="preserve">1. den See- und Hafendienstplan für alle an Bord beschäftigten Besatzungsmitglieder,</w:t>
      </w:r>
    </w:p>
    <w:p>
      <w:pPr>
        <w:ind w:left="420"/>
      </w:pPr>
      <w:r>
        <w:t xml:space="preserve">2. die Höchstarbeitszeiten und die Mindestruhezeiten nach § 48 sowie davon vereinbarte Abweichungen nach § 49.</w:t>
      </w:r>
    </w:p>
    <w:p>
      <w:r>
        <w:t xml:space="preserve">Der Kapitän hat dafür zu sorgen, dass die Übersicht über die Arbeitsorganisation an einem leicht zugänglichen Ort an Bord ausgehängt wird.</w:t>
      </w:r>
    </w:p>
    <w:p>
      <w:r>
        <w:t xml:space="preserve">(2) Auf jedem Schiff sind Arbeitszeitnachweise zu führen, aus denen gesondert für jedes Besatzungsmitglied die täglichen Arbeitszeiten und Ruhezeiten zu ersehen sind.</w:t>
      </w:r>
    </w:p>
    <w:p>
      <w:r>
        <w:t xml:space="preserve">(3) Zum Führen der Übersicht über die Arbeitsorganisation und der Arbeitszeitnachweise ist der Kapitän verpflichtet. Er kann damit einen Schiffsoffizier oder einen anderen Vorgesetzten beauftragen.</w:t>
      </w:r>
    </w:p>
    <w:p>
      <w:r>
        <w:t xml:space="preserve">(4) Die Besatzungsmitglieder sind verpflichtet, dem Kapitän oder seinem Beauftragten die notwendigen Angaben für die Übersicht über die Arbeitsorganisation sowie für die Arbeitszeitnachweise zu geben.</w:t>
      </w:r>
    </w:p>
    <w:p>
      <w:r>
        <w:rPr>
          <w:color w:val="555555"/>
          <w:sz w:val="17"/>
        </w:rPr>
        <w:t xml:space="preserve">Zitiervorschlag: § 50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