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 SeeArbG — Abweichende Arbeitszeitregelungen durch Tarifvertrag</w:t>
      </w:r>
    </w:p>
    <w:p>
      <w:r>
        <w:rPr>
          <w:color w:val="555555"/>
          <w:sz w:val="18"/>
        </w:rPr>
        <w:t xml:space="preserve">Seearbeitsgesetz</w:t>
      </w:r>
    </w:p>
    <w:p>
      <w:r>
        <w:rPr>
          <w:color w:val="555555"/>
          <w:sz w:val="18"/>
        </w:rPr>
        <w:t xml:space="preserve">Stand: 10.06.2019 (konsolidierte Textfassung, kein amtliches Inkrafttretensdatum)</w:t>
      </w:r>
    </w:p>
    <w:p>
      <w:r>
        <w:t xml:space="preserve">(1) In einem Tarifvertrag oder auf Grund eines Tarifvertrages in einer Betriebsvereinbarung oder Bordvereinbarung kann vereinbart werden,</w:t>
      </w:r>
    </w:p>
    <w:p>
      <w:pPr>
        <w:ind w:left="420"/>
      </w:pPr>
      <w:r>
        <w:t xml:space="preserve">1. die Befugnis des Kapitäns, abweichend von § 47 Absatz 4 auch in anderen Fällen eine Verlängerung der in den §§ 43 und 44 bestimmten täglichen Arbeitszeit bis zu zwei Stunden anordnen und dabei von den Regelungen über die Lage der Arbeitszeit und die Beschäftigungsbeschränkungen abweichen zu können,</w:t>
      </w:r>
    </w:p>
    <w:p>
      <w:pPr>
        <w:ind w:left="420"/>
      </w:pPr>
      <w:r>
        <w:t xml:space="preserve">2. abweichend von § 45 Absatz 3 Satz 1 die Mindestruhezeit nach § 48 Absatz 1 Nummer 2 Buchstabe a in drei Abschnitte aufzuteilen, von denen einer eine Mindestdauer von sechs Stunden und die beiden übrigen eine Mindestdauer von jeweils einer Stunde haben müssen; diese Ausnahmeregelung kann für höchstens zwei 24-Stunden-Zeiträume in jedem Zeitraum von sieben Tagen in Anspruch genommen werden,</w:t>
      </w:r>
    </w:p>
    <w:p>
      <w:pPr>
        <w:ind w:left="420"/>
      </w:pPr>
      <w:r>
        <w:t xml:space="preserve">3. abweichende Regelungen von den §§ 43 und 44 zur See- und Hafenarbeitszeit sowie abweichende Regelungen von § 48 Absatz 1 zur Höchstarbeitszeit und zur Mindestruhezeit unter der Voraussetzung, dass die Ruhezeit nicht weniger als 70 Stunden in jedem Zeitraum von sieben Tagen beträgt; Abweichungen von der Mindestruhezeit dürfen höchstens für zwei aufeinanderfolgende Wochen zugelassen werden; zwischen zwei an Bord verbrachten Zeiträumen, für die die Ausnahmeregelung gilt, muss eine Zeitspanne liegen, die mindestens doppelt so lang ist, wie der unter die Ausnahmeregelung fallende Zeitraum, es sei denn, dass dem Zeitraum, für den die Ausnahmeregelung gilt, eine Freistellung von mindestens gleicher Dauer folgt,</w:t>
      </w:r>
    </w:p>
    <w:p>
      <w:pPr>
        <w:ind w:left="420"/>
      </w:pPr>
      <w:r>
        <w:t xml:space="preserve">4. für Besatzungsmitglieder von Fischereifahrzeugen abweichende Regelungen von § 42 Absatz 5 sowie über Nummer 2 und 3 hinaus auch abweichende Regelungen von § 45 Absatz 3 und von § 48 Absatz 1 Nummer 2 hinsichtlich der Arbeitszeit während des Fangs und seiner Verarbeitung an Bord,</w:t>
      </w:r>
    </w:p>
    <w:p>
      <w:pPr>
        <w:ind w:left="420"/>
      </w:pPr>
      <w:r>
        <w:t xml:space="preserve">5. für Besatzungsmitglieder von Fischereifahrzeugen sowie von Fahrgastschiffen und Fährschiffen auch abweichende Regelungen von § 51 hinsichtlich der Vergütung und von § 52 hinsichtlich des Ausgleichs für Sonntags- und Feiertagsarbeit.</w:t>
      </w:r>
    </w:p>
    <w:p>
      <w:r>
        <w:t xml:space="preserve">(2) Im Geltungsbereich eines Tarifvertrages, der eine Regelung nach Absatz 1 Nummer 1 bis 5 enthält, kann diese tarifvertragliche Regelung im Betrieb eines nicht tarifgebundenen Reeders durch Betriebsvereinbarung oder Bordvereinbarung oder, wenn eine Arbeitnehmervertretung nicht besteht, durch schriftliche Vereinbarung zwischen dem Reeder und den Besatzungsmitgliedern übernommen werden, wenn die Anwendung des gesamten Tarifvertrages vereinbart ist.</w:t>
      </w:r>
    </w:p>
    <w:p>
      <w:r>
        <w:t xml:space="preserve">(3) Für Besatzungsmitglieder von Fischereifahrzeugen sowie von Fahrgastschiffen und Fährschiffen, für die Tarifverträge üblicherweise nicht geschlossen werden, können Ausnahmen mit den in Absatz 1 Nummer 2 bis 5 vorgesehenen Regelungen allgemein oder im Einzelfall durch die Berufsgenossenschaft bewilligt werden.</w:t>
      </w:r>
    </w:p>
    <w:p>
      <w:r>
        <w:t xml:space="preserve">(4) Die Abweichungen nach Absatz 1 Nummer 2 bis 4 sowie den Absätzen 2 und 3 müssen in Übereinstimmung mit den allgemeinen Grundsätzen für die Sicherheit und den Gesundheitsschutz der Besatzungsmitglieder stehen und aus technischen oder arbeitsorganisatorischen Gründen erforderlich sein. Sie haben so weit wie möglich den gesetzlichen Bestimmungen zu folgen, können aber häufigeren oder längeren Urlaubszeiten oder der Gewährung von Ausgleichsurlaub für die Besatzungsmitglieder Rechnung tragen.</w:t>
      </w:r>
    </w:p>
    <w:p>
      <w:r>
        <w:t xml:space="preserve">(5) Absatz 1 ist nicht anzuwenden für Tarifverträge, die nach § 21 Absatz 4 Satz 2 des Flaggenrechtsgesetzes abgeschlossen werden.</w:t>
      </w:r>
    </w:p>
    <w:p>
      <w:r>
        <w:rPr>
          <w:color w:val="555555"/>
          <w:sz w:val="17"/>
        </w:rPr>
        <w:t xml:space="preserve">Zitiervorschlag: § 49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