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SeeArbG — Abweichende Arbeitszeitregelungen für Zwei-Wachen-Schiffe, Bergungsfahrzeuge und Schlepper</w:t>
      </w:r>
    </w:p>
    <w:p>
      <w:r>
        <w:rPr>
          <w:color w:val="555555"/>
          <w:sz w:val="18"/>
        </w:rPr>
        <w:t xml:space="preserve">Seearbeitsgesetz</w:t>
      </w:r>
    </w:p>
    <w:p>
      <w:r>
        <w:rPr>
          <w:color w:val="555555"/>
          <w:sz w:val="18"/>
        </w:rPr>
        <w:t xml:space="preserve">Stand: 10.06.2019 (konsolidierte Textfassung, kein amtliches Inkrafttretensdatum)</w:t>
      </w:r>
    </w:p>
    <w:p>
      <w:r>
        <w:t xml:space="preserve">(1) Auf Schiffen mit einer Bruttoraumzahl von bis zu 2 500 in der Fahrt in der Ostsee, in der Nordsee und entlang der norwegischen Küste bis zu 64° nördlicher Breite, im Übrigen bis zu 61° nördlicher Breite und 7° westlicher Länge sowie nach den Häfen Großbritanniens, Irlands und der Atlantikküste Frankreichs, Spaniens und Portugals ausschließlich Gibraltars sowie für Fischereifahrzeuge gleicher Größe auch über diese Fahrtgebiete hinaus darf, sofern die Reise länger als zehn Stunden dauert, die Arbeitszeit des zum Wachdienst bestimmten Deck- und Maschinenpersonals auf See abweichend von § 43 Absatz 1 auf bis zu zwölf Stunden täglich verlängert und nach dem Zwei-Wachen-System eingeteilt werden. Satz 1 ist auch auf Schiffen mit einer Bruttoraumzahl über 2 500 anzuwenden, die vor dem 1. Juli 2002 den bis dahin geltenden Grenzwert für den Raumgehalt eingehalten haben. Wird die Arbeitszeit entsprechend verlängert, haben die Besatzungsmitglieder Anspruch auf einen angemessenen Zuschlag zur Grundheuer.</w:t>
      </w:r>
    </w:p>
    <w:p>
      <w:r>
        <w:t xml:space="preserve">(2) Auf Bergungsfahrzeugen, See- und Bergungsschleppern in der Nord- und Ostseefahrt bis zu 61° nördlicher Breite ist Absatz 1 Satz 1 für die Arbeitszeit der Wache gehenden Besatzungsmitglieder anzuwenden. Wenn das Fahrzeug an der Bergungsstätte eingesetzt ist, kann die Arbeitszeit abweichend von § 43 vom Kapitän, insbesondere unter Berücksichtigung des Tidenwechsels und der Wetterlage, festgesetzt werden.</w:t>
      </w:r>
    </w:p>
    <w:p>
      <w:r>
        <w:rPr>
          <w:color w:val="555555"/>
          <w:sz w:val="17"/>
        </w:rPr>
        <w:t xml:space="preserve">Zitiervorschlag: § 46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