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SeeArbG — Landgang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Besatzungsmitglied hat in seiner dienstfreien Zeit außerhalb der Hafenarbeitszeit im Hafen oder, wenn das Schiff auf Reede liegt, Anspruch auf Landgang.</w:t>
      </w:r>
    </w:p>
    <w:p>
      <w:r>
        <w:t xml:space="preserve">(2) Das Besatzungsmitglied hat in seiner dienstfreien Zeit auch innerhalb der Hafenarbeitszeit im Hafen oder, wenn das Schiff auf Reede liegt, Anspruch auf Landgang, soweit es der Schiffsbetrieb zulässt.</w:t>
      </w:r>
    </w:p>
    <w:p>
      <w:r>
        <w:t xml:space="preserve">(3) Der Anspruch auf Landgang nach den Absätzen 1 und 2 besteht nur, soweit es die Abfahrtzeit und die Sicherheit des Schiffes und der Besatzungsmitglieder zulassen.</w:t>
      </w:r>
    </w:p>
    <w:p>
      <w:r>
        <w:t xml:space="preserve">(4) Der Kapitän hat, wenn für die Landgänger keine oder keine angemessene Beförderungsmöglichkeit durch Dritte besteht, soweit es zumutbar ist, für eine Verbindung zum Land zu sorgen.</w:t>
      </w:r>
    </w:p>
    <w:p>
      <w:r>
        <w:t xml:space="preserve">(5) Der Kapitän hat dafür zu sorgen, dass der außerhalb der Arbeitszeit im Hafen oder auf Reede notwendige Wachdienst gleichmäßig auf die Besatzungsmitglieder verteilt wird.</w:t>
      </w:r>
    </w:p>
    <w:p>
      <w:r>
        <w:rPr>
          <w:color w:val="555555"/>
          <w:sz w:val="17"/>
        </w:rPr>
        <w:t xml:space="preserve">Zitiervorschlag: § 35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