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SeeArbG — Dienstantritt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Reeder hat dem Besatzungsmitglied rechtzeitig den Zeitpunkt mitzuteilen, zu dem es sich an Bord einzufinden hat. Dabei ist ihm der Liegeplatz des Schiffes oder ein Meldeort anzugeben.</w:t>
      </w:r>
    </w:p>
    <w:p>
      <w:r>
        <w:t xml:space="preserve">(2) Kann das Besatzungsmitglied den Dienst wegen eines unabwendbaren Ereignisses nicht antreten, so hat es dies unverzüglich dem Reeder oder dem Kapitän unter Angabe der Gründe mitzuteilen.</w:t>
      </w:r>
    </w:p>
    <w:p>
      <w:r>
        <w:rPr>
          <w:color w:val="555555"/>
          <w:sz w:val="17"/>
        </w:rPr>
        <w:t xml:space="preserve">Zitiervorschlag: § 30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