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SeeArbG — Rechtsverordnungen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(1) Das Bundesministerium für Digitales und Verkehr wird ermächtigt, im Einvernehmen mit dem Bundesministerium für Arbeit und Soziales durch Rechtsverordnung ohne Zustimmung des Bundesrates</w:t>
      </w:r>
    </w:p>
    <w:p>
      <w:pPr>
        <w:ind w:left="420"/>
      </w:pPr>
      <w:r>
        <w:t xml:space="preserve">1. die näheren Anforderungen an die Seediensttauglichkeit, einschließlich der erforderlichen Nachuntersuchungen durch die Berufsgenossenschaft,</w:t>
      </w:r>
    </w:p>
    <w:p>
      <w:pPr>
        <w:ind w:left="420"/>
      </w:pPr>
      <w:r>
        <w:t xml:space="preserve">2. die Durchführung der vorgeschriebenen Untersuchungen,</w:t>
      </w:r>
    </w:p>
    <w:p>
      <w:pPr>
        <w:ind w:left="420"/>
      </w:pPr>
      <w:r>
        <w:t xml:space="preserve">3. die Ausgestaltung des Seediensttauglichkeitszeugnisses,</w:t>
      </w:r>
    </w:p>
    <w:p>
      <w:pPr>
        <w:ind w:left="420"/>
      </w:pPr>
      <w:r>
        <w:t xml:space="preserve">4. Voraussetzungen für die Zulassung der Ärzte, insbesondere die Anforderungen an die Befähigung und die persönliche Eignung, sowie die erforderlichen Nachweise,</w:t>
      </w:r>
    </w:p>
    <w:p>
      <w:pPr>
        <w:ind w:left="420"/>
      </w:pPr>
      <w:r>
        <w:t xml:space="preserve">5. das Erfordernis einer Fortbildung der zugelassenen Ärzte,</w:t>
      </w:r>
    </w:p>
    <w:p>
      <w:pPr>
        <w:ind w:left="420"/>
      </w:pPr>
      <w:r>
        <w:t xml:space="preserve">6. die näheren Einzelheiten über die Verarbeitung der Daten des Seediensttauglichkeitsverzeichnisses</w:t>
      </w:r>
    </w:p>
    <w:p>
      <w:r>
        <w:t xml:space="preserve">sowie das jeweilige Verfahren zu regeln. In Rechtsverordnungen nach Satz 1 Nummer 4 oder 5 können Regelungen über eine Prüfung der Fachkunde einschließlich der Regelungen über Ablauf und Inhalt der Prüfung, die Leistungsbewertung und die Zusammensetzung des Prüfungsausschusses getroffen werden. In Rechtsverordnungen nach Satz 1 Nummer 6 kann vorgesehen werden, dass die an die jeweiligen Empfänger jeweils zu übermittelnden Daten ihnen durch Abruf im automatisierten Verfahren übermittelt oder von ihnen direkt eingestellt werden können, soweit</w:t>
      </w:r>
    </w:p>
    <w:p>
      <w:pPr>
        <w:ind w:left="420"/>
      </w:pPr>
      <w:r>
        <w:t xml:space="preserve">1. die erforderlichen technischen und organisatorischen Maßnahmen nach den Artikeln 24, 25 und 32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2) in der jeweils geltenden Fassung zur Sicherstellung des Datenschutzes und der Datensicherheit getroffen,</w:t>
      </w:r>
    </w:p>
    <w:p>
      <w:pPr>
        <w:ind w:left="420"/>
      </w:pPr>
      <w:r>
        <w:t xml:space="preserve">2. bei der Nutzung allgemein zugänglicher Netze Verschlüsselungsverfahren angewendet und</w:t>
      </w:r>
    </w:p>
    <w:p>
      <w:pPr>
        <w:ind w:left="420"/>
      </w:pPr>
      <w:r>
        <w:t xml:space="preserve">3. die Zulässigkeit der Direkteinstellung oder der Abrufe kontrolliert</w:t>
      </w:r>
    </w:p>
    <w:p>
      <w:r>
        <w:t xml:space="preserve">werden.</w:t>
      </w:r>
    </w:p>
    <w:p>
      <w:r>
        <w:t xml:space="preserve">(2) Rechtsverordnungen nach Absatz 1 bedürfen des Einvernehmens des Bundesministeriums für Ernährung und Landwirtschaft, soweit die Seefischerei betroffen ist.</w:t>
      </w:r>
    </w:p>
    <w:p>
      <w:r>
        <w:rPr>
          <w:color w:val="555555"/>
          <w:sz w:val="17"/>
        </w:rPr>
        <w:t xml:space="preserve">Zitiervorschlag: § 20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