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SeeArbG — Zulassung von Ärzten</w:t>
      </w:r>
    </w:p>
    <w:p>
      <w:r>
        <w:rPr>
          <w:color w:val="555555"/>
          <w:sz w:val="18"/>
        </w:rPr>
        <w:t xml:space="preserve">Seearbeitsgesetz</w:t>
      </w:r>
    </w:p>
    <w:p>
      <w:r>
        <w:rPr>
          <w:color w:val="555555"/>
          <w:sz w:val="18"/>
        </w:rPr>
        <w:t xml:space="preserve">Stand: 10.06.2019 (konsolidierte Textfassung, kein amtliches Inkrafttretensdatum)</w:t>
      </w:r>
    </w:p>
    <w:p>
      <w:r>
        <w:t xml:space="preserve">(1) Eine Ärztin oder ein Arzt wird durch die Berufsgenossenschaft zur Feststellung der Seediensttauglichkeit zugelassen, wenn sie oder er</w:t>
      </w:r>
    </w:p>
    <w:p>
      <w:pPr>
        <w:ind w:left="420"/>
      </w:pPr>
      <w:r>
        <w:t xml:space="preserve">1. die für die Untersuchung und die Feststellung der Seediensttauglichkeit notwendigen fachlichen Kenntnisse besitzt sowie</w:t>
      </w:r>
    </w:p>
    <w:p>
      <w:pPr>
        <w:ind w:left="420"/>
      </w:pPr>
      <w:r>
        <w:t xml:space="preserve">2. unabhängig und zuverlässig ist und dadurch die Gewähr für eine ordnungsgemäße Erfüllung der Aufgaben bietet.</w:t>
      </w:r>
    </w:p>
    <w:p>
      <w:r>
        <w:t xml:space="preserve">Im Antrag auf Zulassung sind die in § 19 Absatz 3 Nummer 8 bezeichneten Daten anzugeben. Nachträgliche Änderungen der Daten sind unverzüglich zu melden. Die Berufsgenossenschaft veröffentlicht die Zulassung unter Angabe des Namens, der Anschrift und der Telefonnummer im Verkehrsblatt und auf ihrer Internetseite.</w:t>
      </w:r>
    </w:p>
    <w:p>
      <w:r>
        <w:t xml:space="preserve">(2) Die Zulassung ist auf drei Jahre, bei erstmaliger Zulassung auf ein Jahr befristet. Die Zulassung kann, auch nachträglich, mit Nebenbestimmungen verbunden werden.</w:t>
      </w:r>
    </w:p>
    <w:p>
      <w:r>
        <w:t xml:space="preserve">(3) Die Zulassung ist zurückzunehmen, wenn die Ärztin oder der Arzt die Zulassung</w:t>
      </w:r>
    </w:p>
    <w:p>
      <w:pPr>
        <w:ind w:left="420"/>
      </w:pPr>
      <w:r>
        <w:t xml:space="preserve">1. durch arglistige Täuschung, Drohung oder Bestechung oder</w:t>
      </w:r>
    </w:p>
    <w:p>
      <w:pPr>
        <w:ind w:left="420"/>
      </w:pPr>
      <w:r>
        <w:t xml:space="preserve">2. vorsätzlich oder grob fahrlässig durch Angaben, die in wesentlicher Beziehung unrichtig oder unvollständig waren,</w:t>
      </w:r>
    </w:p>
    <w:p>
      <w:r>
        <w:t xml:space="preserve">erwirkt hat. Die Zulassung ist zu widerrufen, wenn die Ärztin oder der Arzt nicht mehr über die notwendigen fachlichen Kenntnisse, die erforderliche Unabhängigkeit oder Zuverlässigkeit verfügt. Im Übrigen bleiben die §§ 48 und 49 des Verwaltungsverfahrensgesetzes unberührt. Die Berufsgenossenschaft kann, auch in den Fällen der Sätze 1 und 2, anstelle der Rücknahme oder des Widerrufs bis zur Beseitigung der Rücknahme- oder Widerrufsgründe das Ruhen der Zulassung für einen bestimmten Zeitraum anordnen, soweit mit einer Beseitigung der Rücknahme- oder Widerrufsgründe binnen des bestimmten Zeitraumes zu rechnen ist.</w:t>
      </w:r>
    </w:p>
    <w:p>
      <w:r>
        <w:rPr>
          <w:color w:val="555555"/>
          <w:sz w:val="17"/>
        </w:rPr>
        <w:t xml:space="preserve">Zitiervorschlag: § 16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